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pPr>
      <w:bookmarkStart w:id="0" w:name="_Hlk24613880"/>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-472440</wp:posOffset>
            </wp:positionH>
            <wp:positionV relativeFrom="paragraph">
              <wp:posOffset>113665</wp:posOffset>
            </wp:positionV>
            <wp:extent cx="3636010" cy="499745"/>
            <wp:effectExtent l="0" t="0" r="8890" b="8255"/>
            <wp:wrapNone/>
            <wp:docPr id="8"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6"/>
                    <pic:cNvPicPr>
                      <a:picLocks noChangeAspect="1"/>
                    </pic:cNvPicPr>
                  </pic:nvPicPr>
                  <pic:blipFill>
                    <a:blip r:embed="rId5"/>
                    <a:stretch>
                      <a:fillRect/>
                    </a:stretch>
                  </pic:blipFill>
                  <pic:spPr>
                    <a:xfrm>
                      <a:off x="0" y="0"/>
                      <a:ext cx="3636010" cy="499745"/>
                    </a:xfrm>
                    <a:prstGeom prst="rect">
                      <a:avLst/>
                    </a:prstGeom>
                    <a:noFill/>
                    <a:ln w="9525">
                      <a:noFill/>
                    </a:ln>
                  </pic:spPr>
                </pic:pic>
              </a:graphicData>
            </a:graphic>
          </wp:anchor>
        </w:drawing>
      </w:r>
    </w:p>
    <w:p>
      <w:pPr>
        <w:spacing w:line="276" w:lineRule="auto"/>
        <w:jc w:val="center"/>
      </w:pPr>
    </w:p>
    <w:p>
      <w:pPr>
        <w:spacing w:line="276" w:lineRule="auto"/>
        <w:jc w:val="center"/>
      </w:pPr>
    </w:p>
    <w:p>
      <w:pPr>
        <w:spacing w:line="276" w:lineRule="auto"/>
        <w:jc w:val="center"/>
        <w:rPr>
          <w:rFonts w:ascii="仿宋" w:hAnsi="仿宋" w:eastAsia="仿宋" w:cs="Times New Roman"/>
          <w:b/>
          <w:color w:val="000000"/>
          <w:w w:val="80"/>
          <w:sz w:val="72"/>
          <w:szCs w:val="72"/>
          <w:highlight w:val="yellow"/>
        </w:rPr>
      </w:pPr>
    </w:p>
    <w:p>
      <w:pPr>
        <w:spacing w:line="276" w:lineRule="auto"/>
        <w:jc w:val="center"/>
        <w:rPr>
          <w:rFonts w:ascii="宋体" w:hAnsi="宋体" w:eastAsia="宋体" w:cs="宋体"/>
          <w:b/>
          <w:sz w:val="52"/>
          <w:szCs w:val="52"/>
        </w:rPr>
      </w:pPr>
      <w:r>
        <w:rPr>
          <w:rFonts w:hint="eastAsia" w:ascii="仿宋" w:hAnsi="仿宋" w:eastAsia="仿宋" w:cs="Times New Roman"/>
          <w:b/>
          <w:color w:val="000000"/>
          <w:w w:val="80"/>
          <w:sz w:val="64"/>
          <w:szCs w:val="64"/>
          <w:highlight w:val="none"/>
          <w:lang w:eastAsia="zh-CN"/>
        </w:rPr>
        <w:t>浙江海昌药业股份有限公司</w:t>
      </w:r>
      <w:r>
        <w:rPr>
          <w:rFonts w:hint="eastAsia" w:ascii="宋体" w:hAnsi="宋体" w:eastAsia="宋体" w:cs="宋体"/>
          <w:b/>
          <w:sz w:val="52"/>
          <w:szCs w:val="52"/>
        </w:rPr>
        <w:t xml:space="preserve"> </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社</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会</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责</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任</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报</w:t>
      </w:r>
    </w:p>
    <w:p>
      <w:pPr>
        <w:spacing w:line="276" w:lineRule="auto"/>
        <w:jc w:val="center"/>
        <w:rPr>
          <w:rFonts w:cs="宋体" w:asciiTheme="majorEastAsia" w:hAnsiTheme="majorEastAsia" w:eastAsiaTheme="majorEastAsia"/>
          <w:b/>
          <w:sz w:val="52"/>
          <w:szCs w:val="52"/>
        </w:rPr>
      </w:pPr>
      <w:r>
        <w:rPr>
          <w:rFonts w:hint="eastAsia" w:cs="宋体" w:asciiTheme="majorEastAsia" w:hAnsiTheme="majorEastAsia" w:eastAsiaTheme="majorEastAsia"/>
          <w:b/>
          <w:sz w:val="52"/>
          <w:szCs w:val="52"/>
        </w:rPr>
        <w:t>告</w:t>
      </w:r>
    </w:p>
    <w:p>
      <w:pPr>
        <w:spacing w:line="276" w:lineRule="auto"/>
        <w:ind w:firstLine="3900" w:firstLineChars="750"/>
        <w:rPr>
          <w:rFonts w:ascii="宋体" w:hAnsi="宋体" w:eastAsia="宋体" w:cs="宋体"/>
          <w:sz w:val="52"/>
          <w:szCs w:val="52"/>
        </w:rPr>
      </w:pPr>
    </w:p>
    <w:p>
      <w:pPr>
        <w:spacing w:line="276" w:lineRule="auto"/>
        <w:ind w:firstLine="3900" w:firstLineChars="750"/>
        <w:rPr>
          <w:rFonts w:ascii="宋体" w:hAnsi="宋体" w:eastAsia="宋体" w:cs="宋体"/>
          <w:sz w:val="52"/>
          <w:szCs w:val="52"/>
        </w:rPr>
      </w:pPr>
    </w:p>
    <w:p>
      <w:pPr>
        <w:spacing w:before="40" w:after="40" w:line="276" w:lineRule="auto"/>
        <w:jc w:val="center"/>
        <w:rPr>
          <w:rFonts w:hint="eastAsia" w:ascii="宋体" w:hAnsi="宋体" w:eastAsia="宋体" w:cs="宋体"/>
          <w:sz w:val="36"/>
          <w:szCs w:val="36"/>
          <w:highlight w:val="none"/>
        </w:rPr>
      </w:pPr>
      <w:r>
        <w:rPr>
          <w:rFonts w:hint="eastAsia" w:ascii="宋体" w:hAnsi="宋体" w:eastAsia="宋体" w:cs="宋体"/>
          <w:sz w:val="36"/>
          <w:szCs w:val="36"/>
        </w:rPr>
        <w:t>报告日期：</w:t>
      </w:r>
      <w:r>
        <w:rPr>
          <w:rFonts w:ascii="宋体" w:hAnsi="宋体" w:eastAsia="宋体" w:cs="宋体"/>
          <w:sz w:val="36"/>
          <w:szCs w:val="36"/>
          <w:highlight w:val="none"/>
        </w:rPr>
        <w:t>202</w:t>
      </w:r>
      <w:r>
        <w:rPr>
          <w:rFonts w:hint="eastAsia" w:ascii="宋体" w:hAnsi="宋体" w:eastAsia="宋体" w:cs="宋体"/>
          <w:sz w:val="36"/>
          <w:szCs w:val="36"/>
          <w:highlight w:val="none"/>
          <w:lang w:val="en-US" w:eastAsia="zh-CN"/>
        </w:rPr>
        <w:t>4</w:t>
      </w:r>
      <w:r>
        <w:rPr>
          <w:rFonts w:hint="eastAsia" w:ascii="宋体" w:hAnsi="宋体" w:eastAsia="宋体" w:cs="宋体"/>
          <w:sz w:val="36"/>
          <w:szCs w:val="36"/>
          <w:highlight w:val="none"/>
        </w:rPr>
        <w:t>年</w:t>
      </w:r>
      <w:r>
        <w:rPr>
          <w:rFonts w:hint="eastAsia" w:ascii="宋体" w:hAnsi="宋体" w:eastAsia="宋体" w:cs="宋体"/>
          <w:sz w:val="36"/>
          <w:szCs w:val="36"/>
          <w:highlight w:val="none"/>
          <w:lang w:val="en-US" w:eastAsia="zh-CN"/>
        </w:rPr>
        <w:t>1</w:t>
      </w:r>
      <w:r>
        <w:rPr>
          <w:rFonts w:hint="eastAsia" w:ascii="宋体" w:hAnsi="宋体" w:eastAsia="宋体" w:cs="宋体"/>
          <w:sz w:val="36"/>
          <w:szCs w:val="36"/>
          <w:highlight w:val="none"/>
        </w:rPr>
        <w:t>月</w:t>
      </w:r>
    </w:p>
    <w:p>
      <w:pPr>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p>
    <w:bookmarkEnd w:id="0"/>
    <w:p>
      <w:pPr>
        <w:pStyle w:val="51"/>
        <w:numPr>
          <w:ilvl w:val="0"/>
          <w:numId w:val="1"/>
        </w:numPr>
        <w:spacing w:before="156" w:beforeLines="50" w:after="156" w:afterLines="50" w:line="360" w:lineRule="auto"/>
        <w:ind w:firstLineChars="0"/>
        <w:outlineLvl w:val="0"/>
        <w:rPr>
          <w:rFonts w:asciiTheme="majorEastAsia" w:hAnsiTheme="majorEastAsia" w:eastAsiaTheme="majorEastAsia"/>
          <w:b/>
          <w:color w:val="000000" w:themeColor="text1"/>
          <w:sz w:val="28"/>
          <w:szCs w:val="24"/>
          <w14:textFill>
            <w14:solidFill>
              <w14:schemeClr w14:val="tx1"/>
            </w14:solidFill>
          </w14:textFill>
        </w:rPr>
        <w:sectPr>
          <w:headerReference r:id="rId3" w:type="default"/>
          <w:pgSz w:w="11906" w:h="16838"/>
          <w:pgMar w:top="1440" w:right="1800" w:bottom="1440" w:left="1800" w:header="851" w:footer="992" w:gutter="0"/>
          <w:cols w:space="425" w:num="1"/>
          <w:docGrid w:type="lines" w:linePitch="312" w:charSpace="0"/>
        </w:sectPr>
      </w:pPr>
      <w:bookmarkStart w:id="1" w:name="_Toc451610984"/>
      <w:bookmarkStart w:id="2" w:name="_Toc451610891"/>
      <w:bookmarkStart w:id="30" w:name="_GoBack"/>
      <w:bookmarkEnd w:id="30"/>
    </w:p>
    <w:p>
      <w:pPr>
        <w:pStyle w:val="51"/>
        <w:numPr>
          <w:ilvl w:val="0"/>
          <w:numId w:val="1"/>
        </w:numPr>
        <w:spacing w:before="156" w:beforeLines="50" w:after="156" w:afterLines="50" w:line="360" w:lineRule="auto"/>
        <w:ind w:firstLineChars="0"/>
        <w:outlineLvl w:val="0"/>
        <w:rPr>
          <w:rFonts w:asciiTheme="majorEastAsia" w:hAnsiTheme="majorEastAsia" w:eastAsiaTheme="majorEastAsia"/>
          <w:b/>
          <w:color w:val="000000" w:themeColor="text1"/>
          <w:sz w:val="28"/>
          <w:szCs w:val="24"/>
          <w14:textFill>
            <w14:solidFill>
              <w14:schemeClr w14:val="tx1"/>
            </w14:solidFill>
          </w14:textFill>
        </w:rPr>
      </w:pPr>
      <w:r>
        <w:rPr>
          <w:rFonts w:hint="eastAsia" w:asciiTheme="majorEastAsia" w:hAnsiTheme="majorEastAsia" w:eastAsiaTheme="majorEastAsia"/>
          <w:b/>
          <w:color w:val="000000" w:themeColor="text1"/>
          <w:sz w:val="28"/>
          <w:szCs w:val="24"/>
          <w:highlight w:val="none"/>
          <w:lang w:eastAsia="zh-CN"/>
          <w14:textFill>
            <w14:solidFill>
              <w14:schemeClr w14:val="tx1"/>
            </w14:solidFill>
          </w14:textFill>
        </w:rPr>
        <w:t>浙江海昌药业股份有限公司</w:t>
      </w:r>
      <w:r>
        <w:rPr>
          <w:rFonts w:asciiTheme="majorEastAsia" w:hAnsiTheme="majorEastAsia" w:eastAsiaTheme="majorEastAsia"/>
          <w:b/>
          <w:color w:val="000000" w:themeColor="text1"/>
          <w:sz w:val="28"/>
          <w:szCs w:val="24"/>
          <w14:textFill>
            <w14:solidFill>
              <w14:schemeClr w14:val="tx1"/>
            </w14:solidFill>
          </w14:textFill>
        </w:rPr>
        <w:t>简介</w:t>
      </w:r>
      <w:r>
        <w:rPr>
          <w:rFonts w:hint="eastAsia" w:asciiTheme="majorEastAsia" w:hAnsiTheme="majorEastAsia" w:eastAsiaTheme="majorEastAsia"/>
          <w:b/>
          <w:color w:val="000000" w:themeColor="text1"/>
          <w:sz w:val="28"/>
          <w:szCs w:val="24"/>
          <w14:textFill>
            <w14:solidFill>
              <w14:schemeClr w14:val="tx1"/>
            </w14:solidFill>
          </w14:textFill>
        </w:rPr>
        <w:t>和企业文化</w:t>
      </w:r>
    </w:p>
    <w:p>
      <w:pPr>
        <w:pStyle w:val="51"/>
        <w:spacing w:before="156" w:beforeLines="50" w:after="156" w:afterLines="50" w:line="360" w:lineRule="auto"/>
        <w:ind w:firstLine="0" w:firstLineChars="0"/>
        <w:outlineLvl w:val="0"/>
        <w:rPr>
          <w:rFonts w:asciiTheme="majorEastAsia" w:hAnsiTheme="majorEastAsia" w:eastAsiaTheme="majorEastAsia"/>
          <w:b/>
          <w:color w:val="000000" w:themeColor="text1"/>
          <w:sz w:val="28"/>
          <w:szCs w:val="24"/>
          <w14:textFill>
            <w14:solidFill>
              <w14:schemeClr w14:val="tx1"/>
            </w14:solidFill>
          </w14:textFill>
        </w:rPr>
      </w:pPr>
      <w:r>
        <w:rPr>
          <w:rFonts w:hint="eastAsia" w:asciiTheme="majorEastAsia" w:hAnsiTheme="majorEastAsia" w:eastAsiaTheme="majorEastAsia"/>
          <w:b/>
          <w:color w:val="000000" w:themeColor="text1"/>
          <w:sz w:val="28"/>
          <w:szCs w:val="24"/>
          <w14:textFill>
            <w14:solidFill>
              <w14:schemeClr w14:val="tx1"/>
            </w14:solidFill>
          </w14:textFill>
        </w:rPr>
        <w:t>1.公司简介</w:t>
      </w:r>
    </w:p>
    <w:p>
      <w:pPr>
        <w:spacing w:line="360" w:lineRule="auto"/>
        <w:ind w:firstLine="424"/>
        <w:rPr>
          <w:rFonts w:hint="eastAsia" w:cs="仿宋_GB2312"/>
          <w:color w:val="000000"/>
          <w:sz w:val="24"/>
          <w:shd w:val="clear" w:color="auto" w:fill="FFFFFF"/>
          <w:lang w:eastAsia="zh-CN"/>
        </w:rPr>
      </w:pPr>
      <w:r>
        <w:rPr>
          <w:rFonts w:hint="eastAsia" w:cs="仿宋_GB2312"/>
          <w:color w:val="000000"/>
          <w:sz w:val="24"/>
          <w:shd w:val="clear" w:color="auto" w:fill="FFFFFF"/>
          <w:lang w:eastAsia="zh-CN"/>
        </w:rPr>
        <w:t>浙江海昌药业股份有限公司创立于2006年公司通过将碘海醇合成液通过树脂纯化、醇溶、脱色、超滤等纯化方式进行提纯处理，有效提高了碘海醇原料药的产品质量，2022年营业收入14326.1万元。公司2006年11月由浙江省劳动保护科学研究所组织的专家评审组对“60吨/年碘造影剂医药原料药GMP技术改造项目”安全预评价报告进行评审并予通过；2009年4月海昌药业与厦门大学就医用CT对比增强剂（造影剂）碘普罗胺生产技术开展技术研发合作；2013年9月首仿原料“碘普罗胺”通过现场考核；2015年11月公司新三板成功挂牌上市（股票代码：834402）；2020年7月公司年产850吨碘造影剂生产线技改项目投入试生产；2021年11月获得北京德福资产注资。公司产品获得国家药监局注册批文，为国内造影剂制剂厂家提供高品质，稳定的原料药。</w:t>
      </w:r>
    </w:p>
    <w:p>
      <w:pPr>
        <w:spacing w:line="360" w:lineRule="auto"/>
        <w:ind w:firstLine="424"/>
        <w:rPr>
          <w:rFonts w:hint="eastAsia" w:cs="仿宋_GB2312"/>
          <w:color w:val="000000"/>
          <w:sz w:val="24"/>
          <w:shd w:val="clear" w:color="auto" w:fill="FFFFFF"/>
          <w:lang w:eastAsia="zh-CN"/>
        </w:rPr>
      </w:pPr>
      <w:r>
        <w:rPr>
          <w:rFonts w:hint="eastAsia" w:cs="仿宋_GB2312"/>
          <w:color w:val="000000"/>
          <w:sz w:val="24"/>
          <w:shd w:val="clear" w:color="auto" w:fill="FFFFFF"/>
          <w:lang w:eastAsia="zh-CN"/>
        </w:rPr>
        <w:t>公司形成API+制剂的产业联动，在第五批国家药品集采中，北陆药业、扬子江等核心客户碘海醇制剂中标，第六批国家药品集采中，北陆药业、扬子江碘帕醇制剂中标，核心大客户的集采中标保证了其足够的市场地位，也保障了我司产品的市场占有率。据估算公司主营产品碘海醇原料药细分市场的国内市场占有率2021年为12%，2022年为18%。属于生物医药产业链中的特色原料药。公司已通过质量管理体系认证、环境管理体系认证、职业安全健康管理体系、知识产权管理体系认证、WC认证、GMP认证，建有经营管理ERP/OA、控制系统DCS、造影剂纯化层析系统、智能一体化数字化平台、信息发布及全景监控系统等信息化系统，获得专家特新中小企业、高新技术企业、浙江省级商业秘密保护基地示范点、浙江省清洁生产企业。</w:t>
      </w:r>
    </w:p>
    <w:p>
      <w:pPr>
        <w:spacing w:line="400" w:lineRule="exact"/>
        <w:jc w:val="left"/>
        <w:rPr>
          <w:rFonts w:hint="eastAsia" w:ascii="宋体" w:hAnsi="宋体"/>
          <w:b/>
          <w:bCs/>
          <w:sz w:val="28"/>
          <w:szCs w:val="24"/>
        </w:rPr>
      </w:pPr>
    </w:p>
    <w:p>
      <w:pPr>
        <w:spacing w:line="400" w:lineRule="exact"/>
        <w:jc w:val="left"/>
        <w:rPr>
          <w:rFonts w:ascii="宋体" w:hAnsi="宋体"/>
          <w:b/>
          <w:bCs/>
          <w:sz w:val="28"/>
          <w:szCs w:val="24"/>
        </w:rPr>
      </w:pPr>
      <w:r>
        <w:rPr>
          <w:rFonts w:hint="eastAsia" w:ascii="宋体" w:hAnsi="宋体"/>
          <w:b/>
          <w:bCs/>
          <w:sz w:val="28"/>
          <w:szCs w:val="24"/>
        </w:rPr>
        <w:t>2.企业文化</w:t>
      </w:r>
    </w:p>
    <w:tbl>
      <w:tblPr>
        <w:tblStyle w:val="3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136"/>
        <w:gridCol w:w="63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53" w:type="pct"/>
            <w:tcBorders>
              <w:bottom w:val="single" w:color="auto" w:sz="6" w:space="0"/>
            </w:tcBorders>
            <w:shd w:val="clear" w:color="auto" w:fill="003399"/>
            <w:vAlign w:val="center"/>
          </w:tcPr>
          <w:p>
            <w:pPr>
              <w:pStyle w:val="95"/>
              <w:keepNext w:val="0"/>
              <w:keepLines w:val="0"/>
              <w:suppressLineNumbers w:val="0"/>
              <w:spacing w:line="300" w:lineRule="auto"/>
              <w:ind w:left="0" w:right="0" w:firstLine="422"/>
              <w:jc w:val="center"/>
              <w:rPr>
                <w:rFonts w:hint="default" w:asciiTheme="minorEastAsia" w:hAnsiTheme="minorEastAsia" w:eastAsiaTheme="minorEastAsia"/>
                <w:b/>
                <w:bCs/>
                <w:szCs w:val="21"/>
              </w:rPr>
            </w:pPr>
            <w:r>
              <w:rPr>
                <w:rFonts w:hint="eastAsia" w:asciiTheme="minorEastAsia" w:hAnsiTheme="minorEastAsia" w:eastAsiaTheme="minorEastAsia"/>
                <w:b/>
                <w:bCs/>
                <w:szCs w:val="21"/>
              </w:rPr>
              <w:t>企业文化要素</w:t>
            </w:r>
          </w:p>
        </w:tc>
        <w:tc>
          <w:tcPr>
            <w:tcW w:w="3747" w:type="pct"/>
            <w:shd w:val="clear" w:color="auto" w:fill="003399"/>
            <w:vAlign w:val="center"/>
          </w:tcPr>
          <w:p>
            <w:pPr>
              <w:pStyle w:val="95"/>
              <w:keepNext w:val="0"/>
              <w:keepLines w:val="0"/>
              <w:suppressLineNumbers w:val="0"/>
              <w:spacing w:line="300" w:lineRule="auto"/>
              <w:ind w:left="0" w:right="0" w:firstLine="422"/>
              <w:jc w:val="center"/>
              <w:rPr>
                <w:rFonts w:hint="default" w:asciiTheme="minorEastAsia" w:hAnsiTheme="minorEastAsia" w:eastAsiaTheme="minorEastAsia"/>
                <w:b/>
                <w:bCs/>
                <w:szCs w:val="21"/>
              </w:rPr>
            </w:pPr>
            <w:r>
              <w:rPr>
                <w:rFonts w:hint="eastAsia" w:asciiTheme="minorEastAsia" w:hAnsiTheme="minorEastAsia" w:eastAsiaTheme="minorEastAsia"/>
                <w:b/>
                <w:bCs/>
                <w:szCs w:val="21"/>
              </w:rPr>
              <w:t>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53" w:type="pct"/>
            <w:shd w:val="clear" w:color="auto" w:fill="ADB9CA" w:themeFill="text2" w:themeFillTint="66"/>
            <w:vAlign w:val="center"/>
          </w:tcPr>
          <w:p>
            <w:pPr>
              <w:pStyle w:val="95"/>
              <w:keepNext w:val="0"/>
              <w:keepLines w:val="0"/>
              <w:suppressLineNumbers w:val="0"/>
              <w:snapToGrid w:val="0"/>
              <w:spacing w:line="300" w:lineRule="auto"/>
              <w:ind w:left="0" w:right="0" w:firstLine="482"/>
              <w:rPr>
                <w:rFonts w:hint="default" w:ascii="宋体" w:eastAsia="宋体"/>
                <w:b/>
                <w:kern w:val="2"/>
                <w:sz w:val="24"/>
                <w:szCs w:val="24"/>
              </w:rPr>
            </w:pPr>
            <w:r>
              <w:rPr>
                <w:rFonts w:hint="eastAsia" w:ascii="宋体" w:eastAsia="宋体"/>
                <w:b/>
                <w:kern w:val="2"/>
                <w:sz w:val="24"/>
                <w:szCs w:val="24"/>
              </w:rPr>
              <w:t>公司使命</w:t>
            </w:r>
          </w:p>
        </w:tc>
        <w:tc>
          <w:tcPr>
            <w:tcW w:w="3747" w:type="pct"/>
            <w:vAlign w:val="center"/>
          </w:tcPr>
          <w:p>
            <w:pPr>
              <w:pStyle w:val="18"/>
              <w:keepNext w:val="0"/>
              <w:keepLines w:val="0"/>
              <w:suppressLineNumbers w:val="0"/>
              <w:spacing w:before="0" w:beforeAutospacing="0" w:afterAutospacing="0"/>
              <w:ind w:left="0" w:right="0" w:firstLine="480"/>
              <w:jc w:val="center"/>
              <w:rPr>
                <w:rFonts w:hint="default" w:ascii="宋体" w:hAnsi="宋体"/>
              </w:rPr>
            </w:pPr>
            <w:r>
              <w:rPr>
                <w:rFonts w:hint="eastAsia" w:ascii="宋体" w:hAnsi="Arial" w:cs="宋体"/>
                <w:color w:val="000000"/>
                <w:kern w:val="0"/>
              </w:rPr>
              <w:t>关爱生命，服务健康，为客户提供高品质的创新产品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53" w:type="pct"/>
            <w:shd w:val="clear" w:color="auto" w:fill="ADB9CA" w:themeFill="text2" w:themeFillTint="66"/>
            <w:vAlign w:val="center"/>
          </w:tcPr>
          <w:p>
            <w:pPr>
              <w:pStyle w:val="95"/>
              <w:keepNext w:val="0"/>
              <w:keepLines w:val="0"/>
              <w:suppressLineNumbers w:val="0"/>
              <w:snapToGrid w:val="0"/>
              <w:spacing w:line="300" w:lineRule="auto"/>
              <w:ind w:left="0" w:right="0" w:firstLine="482"/>
              <w:rPr>
                <w:rFonts w:hint="default" w:ascii="宋体" w:eastAsia="宋体"/>
                <w:b/>
                <w:kern w:val="2"/>
                <w:sz w:val="24"/>
                <w:szCs w:val="24"/>
              </w:rPr>
            </w:pPr>
            <w:r>
              <w:rPr>
                <w:rFonts w:hint="eastAsia" w:ascii="宋体" w:eastAsia="宋体"/>
                <w:b/>
                <w:kern w:val="2"/>
                <w:sz w:val="24"/>
                <w:szCs w:val="24"/>
              </w:rPr>
              <w:t>公司愿景</w:t>
            </w:r>
          </w:p>
        </w:tc>
        <w:tc>
          <w:tcPr>
            <w:tcW w:w="3747" w:type="pct"/>
            <w:vAlign w:val="center"/>
          </w:tcPr>
          <w:p>
            <w:pPr>
              <w:pStyle w:val="18"/>
              <w:keepNext w:val="0"/>
              <w:keepLines w:val="0"/>
              <w:suppressLineNumbers w:val="0"/>
              <w:spacing w:before="0" w:beforeAutospacing="0" w:afterAutospacing="0"/>
              <w:ind w:left="0" w:right="0" w:firstLine="480"/>
              <w:jc w:val="center"/>
              <w:rPr>
                <w:rFonts w:hint="default" w:ascii="宋体" w:hAnsi="宋体"/>
              </w:rPr>
            </w:pPr>
            <w:r>
              <w:rPr>
                <w:rFonts w:hint="eastAsia" w:ascii="宋体" w:hAnsi="Arial" w:cs="宋体"/>
                <w:color w:val="000000"/>
                <w:kern w:val="0"/>
              </w:rPr>
              <w:t>百年海昌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253" w:type="pct"/>
            <w:shd w:val="clear" w:color="auto" w:fill="ADB9CA" w:themeFill="text2" w:themeFillTint="66"/>
            <w:vAlign w:val="center"/>
          </w:tcPr>
          <w:p>
            <w:pPr>
              <w:pStyle w:val="95"/>
              <w:keepNext w:val="0"/>
              <w:keepLines w:val="0"/>
              <w:suppressLineNumbers w:val="0"/>
              <w:snapToGrid w:val="0"/>
              <w:spacing w:line="300" w:lineRule="auto"/>
              <w:ind w:left="0" w:right="0" w:firstLine="482"/>
              <w:rPr>
                <w:rFonts w:hint="default" w:ascii="宋体" w:eastAsia="宋体"/>
                <w:b/>
                <w:kern w:val="2"/>
                <w:sz w:val="24"/>
                <w:szCs w:val="24"/>
              </w:rPr>
            </w:pPr>
            <w:r>
              <w:rPr>
                <w:rFonts w:hint="eastAsia" w:ascii="宋体" w:eastAsia="宋体"/>
                <w:b/>
                <w:kern w:val="2"/>
                <w:sz w:val="24"/>
                <w:szCs w:val="24"/>
              </w:rPr>
              <w:t>公司价值观</w:t>
            </w:r>
          </w:p>
        </w:tc>
        <w:tc>
          <w:tcPr>
            <w:tcW w:w="3747" w:type="pct"/>
            <w:vAlign w:val="center"/>
          </w:tcPr>
          <w:p>
            <w:pPr>
              <w:pStyle w:val="95"/>
              <w:keepNext w:val="0"/>
              <w:keepLines w:val="0"/>
              <w:suppressLineNumbers w:val="0"/>
              <w:snapToGrid w:val="0"/>
              <w:ind w:left="0" w:right="0" w:firstLine="0" w:firstLineChars="0"/>
              <w:jc w:val="center"/>
              <w:rPr>
                <w:rFonts w:hint="default" w:ascii="宋体" w:eastAsia="宋体"/>
                <w:kern w:val="2"/>
                <w:sz w:val="24"/>
                <w:szCs w:val="24"/>
              </w:rPr>
            </w:pPr>
            <w:r>
              <w:rPr>
                <w:rFonts w:hint="eastAsia" w:ascii="宋体" w:eastAsia="宋体"/>
                <w:kern w:val="2"/>
                <w:sz w:val="24"/>
                <w:szCs w:val="24"/>
              </w:rPr>
              <w:t>品质力争卓越，服务锲而不舍</w:t>
            </w:r>
          </w:p>
        </w:tc>
      </w:tr>
    </w:tbl>
    <w:p>
      <w:pPr>
        <w:spacing w:before="156" w:beforeLines="50" w:after="156" w:afterLines="50" w:line="360" w:lineRule="auto"/>
        <w:outlineLvl w:val="0"/>
        <w:rPr>
          <w:rFonts w:cs="Times New Roman" w:asciiTheme="majorEastAsia" w:hAnsiTheme="majorEastAsia" w:eastAsiaTheme="majorEastAsia"/>
          <w:b/>
          <w:color w:val="000000" w:themeColor="text1"/>
          <w:sz w:val="28"/>
          <w:szCs w:val="24"/>
          <w14:textFill>
            <w14:solidFill>
              <w14:schemeClr w14:val="tx1"/>
            </w14:solidFill>
          </w14:textFill>
        </w:rPr>
      </w:pPr>
      <w:r>
        <w:rPr>
          <w:rFonts w:hint="eastAsia" w:cs="Times New Roman" w:asciiTheme="majorEastAsia" w:hAnsiTheme="majorEastAsia" w:eastAsiaTheme="majorEastAsia"/>
          <w:b/>
          <w:color w:val="000000" w:themeColor="text1"/>
          <w:sz w:val="28"/>
          <w:szCs w:val="24"/>
          <w14:textFill>
            <w14:solidFill>
              <w14:schemeClr w14:val="tx1"/>
            </w14:solidFill>
          </w14:textFill>
        </w:rPr>
        <w:t>二、</w:t>
      </w:r>
      <w:r>
        <w:rPr>
          <w:rFonts w:cs="Times New Roman" w:asciiTheme="majorEastAsia" w:hAnsiTheme="majorEastAsia" w:eastAsiaTheme="majorEastAsia"/>
          <w:b/>
          <w:color w:val="000000" w:themeColor="text1"/>
          <w:sz w:val="28"/>
          <w:szCs w:val="24"/>
          <w14:textFill>
            <w14:solidFill>
              <w14:schemeClr w14:val="tx1"/>
            </w14:solidFill>
          </w14:textFill>
        </w:rPr>
        <w:t>组织架构</w:t>
      </w:r>
      <w:r>
        <w:rPr>
          <w:rFonts w:hint="eastAsia" w:cs="Times New Roman" w:asciiTheme="majorEastAsia" w:hAnsiTheme="majorEastAsia" w:eastAsiaTheme="majorEastAsia"/>
          <w:b/>
          <w:color w:val="000000" w:themeColor="text1"/>
          <w:sz w:val="28"/>
          <w:szCs w:val="24"/>
          <w14:textFill>
            <w14:solidFill>
              <w14:schemeClr w14:val="tx1"/>
            </w14:solidFill>
          </w14:textFill>
        </w:rPr>
        <w:t>及</w:t>
      </w:r>
      <w:r>
        <w:rPr>
          <w:rFonts w:cs="Times New Roman" w:asciiTheme="majorEastAsia" w:hAnsiTheme="majorEastAsia" w:eastAsiaTheme="majorEastAsia"/>
          <w:b/>
          <w:color w:val="000000" w:themeColor="text1"/>
          <w:sz w:val="28"/>
          <w:szCs w:val="24"/>
          <w14:textFill>
            <w14:solidFill>
              <w14:schemeClr w14:val="tx1"/>
            </w14:solidFill>
          </w14:textFill>
        </w:rPr>
        <w:t>主要产品</w:t>
      </w:r>
    </w:p>
    <w:p>
      <w:pPr>
        <w:spacing w:before="156" w:beforeLines="50" w:after="156" w:afterLines="50" w:line="360" w:lineRule="auto"/>
        <w:outlineLvl w:val="0"/>
        <w:rPr>
          <w:rFonts w:cs="Times New Roman" w:asciiTheme="majorEastAsia" w:hAnsiTheme="majorEastAsia" w:eastAsiaTheme="majorEastAsia"/>
          <w:b/>
          <w:color w:val="000000" w:themeColor="text1"/>
          <w:sz w:val="24"/>
          <w:szCs w:val="24"/>
          <w14:textFill>
            <w14:solidFill>
              <w14:schemeClr w14:val="tx1"/>
            </w14:solidFill>
          </w14:textFill>
        </w:rPr>
      </w:pPr>
      <w:r>
        <w:rPr>
          <w:rFonts w:cs="Times New Roman" w:asciiTheme="majorEastAsia" w:hAnsiTheme="majorEastAsia" w:eastAsiaTheme="majorEastAsia"/>
          <w:b/>
          <w:color w:val="000000" w:themeColor="text1"/>
          <w:sz w:val="24"/>
          <w:szCs w:val="24"/>
          <w14:textFill>
            <w14:solidFill>
              <w14:schemeClr w14:val="tx1"/>
            </w14:solidFill>
          </w14:textFill>
        </w:rPr>
        <w:t>1</w:t>
      </w:r>
      <w:r>
        <w:rPr>
          <w:rFonts w:hint="eastAsia" w:cs="Times New Roman" w:asciiTheme="majorEastAsia" w:hAnsiTheme="majorEastAsia" w:eastAsiaTheme="majorEastAsia"/>
          <w:b/>
          <w:color w:val="000000" w:themeColor="text1"/>
          <w:sz w:val="24"/>
          <w:szCs w:val="24"/>
          <w14:textFill>
            <w14:solidFill>
              <w14:schemeClr w14:val="tx1"/>
            </w14:solidFill>
          </w14:textFill>
        </w:rPr>
        <w:t>、组织</w:t>
      </w:r>
      <w:r>
        <w:rPr>
          <w:rFonts w:cs="Times New Roman" w:asciiTheme="majorEastAsia" w:hAnsiTheme="majorEastAsia" w:eastAsiaTheme="majorEastAsia"/>
          <w:b/>
          <w:color w:val="000000" w:themeColor="text1"/>
          <w:sz w:val="24"/>
          <w:szCs w:val="24"/>
          <w14:textFill>
            <w14:solidFill>
              <w14:schemeClr w14:val="tx1"/>
            </w14:solidFill>
          </w14:textFill>
        </w:rPr>
        <w:t>架构图</w:t>
      </w:r>
    </w:p>
    <w:p>
      <w:pPr>
        <w:pStyle w:val="47"/>
        <w:ind w:firstLine="0" w:firstLineChars="0"/>
        <w:jc w:val="both"/>
        <w:rPr>
          <w:rFonts w:asciiTheme="majorEastAsia" w:hAnsiTheme="majorEastAsia" w:eastAsiaTheme="majorEastAsia"/>
          <w:b/>
          <w:color w:val="000000" w:themeColor="text1"/>
          <w:szCs w:val="24"/>
          <w:lang w:val="en-US"/>
          <w14:textFill>
            <w14:solidFill>
              <w14:schemeClr w14:val="tx1"/>
            </w14:solidFill>
          </w14:textFill>
        </w:rPr>
      </w:pPr>
      <w:r>
        <w:drawing>
          <wp:inline distT="0" distB="0" distL="114300" distR="114300">
            <wp:extent cx="7905750" cy="5593715"/>
            <wp:effectExtent l="0" t="0" r="6985" b="635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6"/>
                    <a:stretch>
                      <a:fillRect/>
                    </a:stretch>
                  </pic:blipFill>
                  <pic:spPr>
                    <a:xfrm rot="16200000">
                      <a:off x="0" y="0"/>
                      <a:ext cx="7905750" cy="5593715"/>
                    </a:xfrm>
                    <a:prstGeom prst="rect">
                      <a:avLst/>
                    </a:prstGeom>
                    <a:noFill/>
                    <a:ln>
                      <a:noFill/>
                    </a:ln>
                  </pic:spPr>
                </pic:pic>
              </a:graphicData>
            </a:graphic>
          </wp:inline>
        </w:drawing>
      </w:r>
    </w:p>
    <w:p>
      <w:pPr>
        <w:pStyle w:val="47"/>
        <w:ind w:firstLine="0" w:firstLineChars="0"/>
        <w:jc w:val="center"/>
        <w:rPr>
          <w:rFonts w:asciiTheme="majorEastAsia" w:hAnsiTheme="majorEastAsia" w:eastAsiaTheme="majorEastAsia"/>
          <w:b/>
          <w:color w:val="000000" w:themeColor="text1"/>
          <w:szCs w:val="24"/>
          <w14:textFill>
            <w14:solidFill>
              <w14:schemeClr w14:val="tx1"/>
            </w14:solidFill>
          </w14:textFill>
        </w:rPr>
      </w:pPr>
    </w:p>
    <w:p>
      <w:pPr>
        <w:spacing w:before="156" w:beforeLines="50" w:after="156" w:afterLines="50" w:line="360" w:lineRule="auto"/>
        <w:outlineLvl w:val="0"/>
        <w:rPr>
          <w:rFonts w:cs="Times New Roman" w:asciiTheme="majorEastAsia" w:hAnsiTheme="majorEastAsia" w:eastAsiaTheme="majorEastAsia"/>
          <w:b/>
          <w:color w:val="000000" w:themeColor="text1"/>
          <w:sz w:val="24"/>
          <w:szCs w:val="24"/>
          <w14:textFill>
            <w14:solidFill>
              <w14:schemeClr w14:val="tx1"/>
            </w14:solidFill>
          </w14:textFill>
        </w:rPr>
      </w:pPr>
      <w:r>
        <w:rPr>
          <w:rFonts w:hint="eastAsia" w:cs="Times New Roman" w:asciiTheme="majorEastAsia" w:hAnsiTheme="majorEastAsia" w:eastAsiaTheme="majorEastAsia"/>
          <w:b/>
          <w:color w:val="000000" w:themeColor="text1"/>
          <w:sz w:val="24"/>
          <w:szCs w:val="24"/>
          <w14:textFill>
            <w14:solidFill>
              <w14:schemeClr w14:val="tx1"/>
            </w14:solidFill>
          </w14:textFill>
        </w:rPr>
        <w:t>2、</w:t>
      </w:r>
      <w:r>
        <w:rPr>
          <w:rFonts w:cs="Times New Roman" w:asciiTheme="majorEastAsia" w:hAnsiTheme="majorEastAsia" w:eastAsiaTheme="majorEastAsia"/>
          <w:b/>
          <w:color w:val="000000" w:themeColor="text1"/>
          <w:sz w:val="24"/>
          <w:szCs w:val="24"/>
          <w14:textFill>
            <w14:solidFill>
              <w14:schemeClr w14:val="tx1"/>
            </w14:solidFill>
          </w14:textFill>
        </w:rPr>
        <w:t>主要产品</w:t>
      </w:r>
    </w:p>
    <w:p>
      <w:pPr>
        <w:pStyle w:val="96"/>
        <w:spacing w:line="360" w:lineRule="auto"/>
        <w:ind w:firstLine="482"/>
        <w:rPr>
          <w:rFonts w:ascii="宋体" w:hAnsi="宋体"/>
          <w:color w:val="auto"/>
          <w:szCs w:val="21"/>
          <w:highlight w:val="yellow"/>
        </w:rPr>
      </w:pPr>
      <w:bookmarkStart w:id="3" w:name="_Hlk88658465"/>
      <w:bookmarkStart w:id="4" w:name="_Hlk109653173"/>
      <w:bookmarkStart w:id="5" w:name="_Hlk24620175"/>
      <w:r>
        <w:rPr>
          <w:rFonts w:hint="eastAsia" w:ascii="宋体" w:hAnsi="宋体"/>
          <w:b/>
          <w:color w:val="auto"/>
        </w:rPr>
        <w:t>公司产品</w:t>
      </w:r>
      <w:r>
        <w:rPr>
          <w:rFonts w:hint="eastAsia" w:ascii="宋体" w:hAnsi="宋体"/>
          <w:color w:val="auto"/>
        </w:rPr>
        <w:t>：</w:t>
      </w:r>
      <w:r>
        <w:rPr>
          <w:rFonts w:hint="eastAsia" w:ascii="宋体" w:hAnsi="宋体"/>
          <w:color w:val="auto"/>
          <w:szCs w:val="21"/>
        </w:rPr>
        <w:t>公司主要从事X-CT非离子型碘造影剂等原料药的生产与销售。公司目前主营产品为碘海醇</w:t>
      </w:r>
      <w:r>
        <w:rPr>
          <w:rFonts w:hint="eastAsia" w:ascii="宋体" w:hAnsi="宋体"/>
          <w:color w:val="auto"/>
          <w:szCs w:val="21"/>
          <w:lang w:eastAsia="zh-CN"/>
        </w:rPr>
        <w:t>、</w:t>
      </w:r>
      <w:r>
        <w:rPr>
          <w:rFonts w:hint="eastAsia" w:ascii="宋体" w:hAnsi="宋体"/>
          <w:color w:val="auto"/>
          <w:szCs w:val="21"/>
        </w:rPr>
        <w:t>碘克沙醇</w:t>
      </w:r>
      <w:r>
        <w:rPr>
          <w:rFonts w:hint="eastAsia" w:ascii="宋体" w:hAnsi="宋体"/>
          <w:color w:val="auto"/>
          <w:szCs w:val="21"/>
          <w:lang w:eastAsia="zh-CN"/>
        </w:rPr>
        <w:t>、</w:t>
      </w:r>
      <w:r>
        <w:rPr>
          <w:rFonts w:hint="eastAsia" w:ascii="宋体" w:hAnsi="宋体"/>
          <w:color w:val="auto"/>
          <w:szCs w:val="21"/>
        </w:rPr>
        <w:t>碘帕醇</w:t>
      </w:r>
      <w:r>
        <w:rPr>
          <w:rFonts w:hint="eastAsia" w:ascii="宋体" w:hAnsi="宋体"/>
          <w:color w:val="auto"/>
          <w:szCs w:val="21"/>
          <w:lang w:eastAsia="zh-CN"/>
        </w:rPr>
        <w:t>、</w:t>
      </w:r>
      <w:r>
        <w:rPr>
          <w:rFonts w:hint="eastAsia" w:ascii="宋体" w:hAnsi="宋体"/>
          <w:color w:val="auto"/>
          <w:szCs w:val="21"/>
        </w:rPr>
        <w:t>碘普罗胺</w:t>
      </w:r>
      <w:r>
        <w:rPr>
          <w:rFonts w:hint="eastAsia" w:ascii="宋体" w:hAnsi="宋体"/>
          <w:color w:val="auto"/>
          <w:szCs w:val="21"/>
          <w:lang w:eastAsia="zh-CN"/>
        </w:rPr>
        <w:t>、</w:t>
      </w:r>
      <w:r>
        <w:rPr>
          <w:rFonts w:hint="eastAsia" w:ascii="宋体" w:hAnsi="宋体"/>
          <w:color w:val="auto"/>
          <w:szCs w:val="21"/>
        </w:rPr>
        <w:t>碘美普尔和碘比醇等产品。</w:t>
      </w:r>
    </w:p>
    <w:bookmarkEnd w:id="3"/>
    <w:bookmarkEnd w:id="4"/>
    <w:p>
      <w:pPr>
        <w:spacing w:line="600" w:lineRule="exact"/>
        <w:ind w:firstLine="480" w:firstLineChars="200"/>
        <w:jc w:val="left"/>
        <w:rPr>
          <w:rFonts w:hint="eastAsia" w:cs="Times New Roman" w:asciiTheme="minorEastAsia" w:hAnsiTheme="minorEastAsia" w:eastAsiaTheme="minorEastAsia"/>
          <w:kern w:val="0"/>
          <w:sz w:val="24"/>
          <w:szCs w:val="24"/>
          <w:lang w:eastAsia="zh-CN"/>
        </w:rPr>
      </w:pPr>
      <w:r>
        <w:rPr>
          <w:rFonts w:hint="eastAsia" w:cs="Times New Roman" w:asciiTheme="minorEastAsia" w:hAnsiTheme="minorEastAsia"/>
          <w:kern w:val="0"/>
          <w:sz w:val="24"/>
          <w:szCs w:val="24"/>
        </w:rPr>
        <w:t>主要产品图片如下</w:t>
      </w:r>
      <w:bookmarkEnd w:id="5"/>
      <w:r>
        <w:rPr>
          <w:rFonts w:hint="eastAsia" w:cs="Times New Roman" w:asciiTheme="minorEastAsia" w:hAnsiTheme="minorEastAsia"/>
          <w:kern w:val="0"/>
          <w:sz w:val="24"/>
          <w:szCs w:val="24"/>
          <w:lang w:eastAsia="zh-CN"/>
        </w:rPr>
        <w:t>：</w:t>
      </w:r>
    </w:p>
    <w:p>
      <w:pPr>
        <w:pStyle w:val="96"/>
        <w:spacing w:line="360" w:lineRule="auto"/>
        <w:ind w:firstLine="0" w:firstLineChars="0"/>
      </w:pPr>
      <w:r>
        <w:drawing>
          <wp:inline distT="0" distB="0" distL="114300" distR="114300">
            <wp:extent cx="5272405" cy="2504440"/>
            <wp:effectExtent l="0" t="0" r="10795" b="1016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7"/>
                    <a:stretch>
                      <a:fillRect/>
                    </a:stretch>
                  </pic:blipFill>
                  <pic:spPr>
                    <a:xfrm>
                      <a:off x="0" y="0"/>
                      <a:ext cx="5272405" cy="2504440"/>
                    </a:xfrm>
                    <a:prstGeom prst="rect">
                      <a:avLst/>
                    </a:prstGeom>
                    <a:noFill/>
                    <a:ln>
                      <a:noFill/>
                    </a:ln>
                  </pic:spPr>
                </pic:pic>
              </a:graphicData>
            </a:graphic>
          </wp:inline>
        </w:drawing>
      </w:r>
    </w:p>
    <w:p>
      <w:pPr>
        <w:pStyle w:val="96"/>
        <w:spacing w:line="360" w:lineRule="auto"/>
        <w:ind w:firstLine="0" w:firstLineChars="0"/>
      </w:pPr>
      <w:r>
        <w:drawing>
          <wp:inline distT="0" distB="0" distL="114300" distR="114300">
            <wp:extent cx="5271135" cy="3119755"/>
            <wp:effectExtent l="0" t="0" r="12065" b="4445"/>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8"/>
                    <a:stretch>
                      <a:fillRect/>
                    </a:stretch>
                  </pic:blipFill>
                  <pic:spPr>
                    <a:xfrm>
                      <a:off x="0" y="0"/>
                      <a:ext cx="5271135" cy="3119755"/>
                    </a:xfrm>
                    <a:prstGeom prst="rect">
                      <a:avLst/>
                    </a:prstGeom>
                    <a:noFill/>
                    <a:ln>
                      <a:noFill/>
                    </a:ln>
                  </pic:spPr>
                </pic:pic>
              </a:graphicData>
            </a:graphic>
          </wp:inline>
        </w:drawing>
      </w:r>
    </w:p>
    <w:p>
      <w:pPr>
        <w:pStyle w:val="96"/>
        <w:spacing w:line="360" w:lineRule="auto"/>
        <w:ind w:firstLine="0" w:firstLineChars="0"/>
      </w:pPr>
      <w:r>
        <w:drawing>
          <wp:inline distT="0" distB="0" distL="114300" distR="114300">
            <wp:extent cx="5267325" cy="1146810"/>
            <wp:effectExtent l="0" t="0" r="3175" b="8890"/>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9"/>
                    <a:stretch>
                      <a:fillRect/>
                    </a:stretch>
                  </pic:blipFill>
                  <pic:spPr>
                    <a:xfrm>
                      <a:off x="0" y="0"/>
                      <a:ext cx="5267325" cy="1146810"/>
                    </a:xfrm>
                    <a:prstGeom prst="rect">
                      <a:avLst/>
                    </a:prstGeom>
                    <a:noFill/>
                    <a:ln>
                      <a:noFill/>
                    </a:ln>
                  </pic:spPr>
                </pic:pic>
              </a:graphicData>
            </a:graphic>
          </wp:inline>
        </w:drawing>
      </w:r>
    </w:p>
    <w:p>
      <w:pPr>
        <w:spacing w:line="600" w:lineRule="exact"/>
        <w:jc w:val="left"/>
        <w:rPr>
          <w:rFonts w:hint="eastAsia" w:cs="Times New Roman" w:asciiTheme="minorEastAsia" w:hAnsiTheme="minorEastAsia"/>
          <w:kern w:val="0"/>
          <w:sz w:val="24"/>
          <w:szCs w:val="24"/>
        </w:rPr>
      </w:pPr>
    </w:p>
    <w:p>
      <w:pPr>
        <w:spacing w:before="156" w:beforeLines="50" w:after="156" w:afterLines="50"/>
        <w:outlineLvl w:val="0"/>
        <w:rPr>
          <w:rFonts w:cs="Times New Roman" w:asciiTheme="majorEastAsia" w:hAnsiTheme="majorEastAsia" w:eastAsiaTheme="majorEastAsia"/>
          <w:b/>
          <w:sz w:val="28"/>
          <w:szCs w:val="24"/>
        </w:rPr>
      </w:pPr>
      <w:r>
        <w:rPr>
          <w:rFonts w:hint="eastAsia" w:cs="Times New Roman" w:asciiTheme="majorEastAsia" w:hAnsiTheme="majorEastAsia" w:eastAsiaTheme="majorEastAsia"/>
          <w:b/>
          <w:sz w:val="28"/>
          <w:szCs w:val="24"/>
        </w:rPr>
        <w:t>三、经济责任</w:t>
      </w:r>
      <w:bookmarkEnd w:id="1"/>
      <w:bookmarkEnd w:id="2"/>
    </w:p>
    <w:p>
      <w:pPr>
        <w:spacing w:before="156" w:beforeLines="50" w:after="156" w:afterLines="50"/>
        <w:outlineLvl w:val="1"/>
        <w:rPr>
          <w:rFonts w:cs="Times New Roman" w:asciiTheme="majorEastAsia" w:hAnsiTheme="majorEastAsia" w:eastAsiaTheme="majorEastAsia"/>
          <w:b/>
          <w:sz w:val="24"/>
          <w:szCs w:val="24"/>
        </w:rPr>
      </w:pPr>
      <w:bookmarkStart w:id="6" w:name="_Toc451610985"/>
      <w:bookmarkStart w:id="7" w:name="_Toc451610892"/>
      <w:r>
        <w:rPr>
          <w:rFonts w:hint="eastAsia" w:cs="Times New Roman" w:asciiTheme="majorEastAsia" w:hAnsiTheme="majorEastAsia" w:eastAsiaTheme="majorEastAsia"/>
          <w:b/>
          <w:sz w:val="24"/>
          <w:szCs w:val="24"/>
        </w:rPr>
        <w:t>（一）战略方向</w:t>
      </w:r>
      <w:bookmarkEnd w:id="6"/>
      <w:bookmarkEnd w:id="7"/>
    </w:p>
    <w:p>
      <w:pPr>
        <w:pStyle w:val="51"/>
        <w:spacing w:line="360" w:lineRule="auto"/>
        <w:ind w:left="482" w:firstLine="0" w:firstLineChars="0"/>
        <w:rPr>
          <w:rFonts w:asciiTheme="majorEastAsia" w:hAnsiTheme="majorEastAsia" w:eastAsiaTheme="majorEastAsia"/>
          <w:b/>
          <w:bCs/>
          <w:szCs w:val="24"/>
        </w:rPr>
      </w:pPr>
      <w:r>
        <w:rPr>
          <w:rFonts w:hint="eastAsia" w:asciiTheme="majorEastAsia" w:hAnsiTheme="majorEastAsia" w:eastAsiaTheme="majorEastAsia"/>
          <w:b/>
          <w:sz w:val="24"/>
          <w:szCs w:val="24"/>
        </w:rPr>
        <w:t>1）</w:t>
      </w:r>
      <w:r>
        <w:rPr>
          <w:rFonts w:asciiTheme="majorEastAsia" w:hAnsiTheme="majorEastAsia" w:eastAsiaTheme="majorEastAsia"/>
          <w:b/>
          <w:sz w:val="24"/>
          <w:szCs w:val="24"/>
        </w:rPr>
        <w:t>长、中、短期主要战略目标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公司不断加大研发创新投入、加强研发创新力度，持续提升科技水平；</w:t>
      </w:r>
      <w:r>
        <w:rPr>
          <w:rFonts w:asciiTheme="minorEastAsia" w:hAnsiTheme="minorEastAsia"/>
          <w:sz w:val="24"/>
          <w:szCs w:val="24"/>
        </w:rPr>
        <w:t>继续</w:t>
      </w:r>
      <w:r>
        <w:rPr>
          <w:rFonts w:hint="eastAsia" w:asciiTheme="minorEastAsia" w:hAnsiTheme="minorEastAsia"/>
          <w:sz w:val="24"/>
          <w:szCs w:val="24"/>
        </w:rPr>
        <w:t>推进精益制造</w:t>
      </w:r>
      <w:r>
        <w:rPr>
          <w:rFonts w:asciiTheme="minorEastAsia" w:hAnsiTheme="minorEastAsia"/>
          <w:sz w:val="24"/>
          <w:szCs w:val="24"/>
        </w:rPr>
        <w:t>，</w:t>
      </w:r>
      <w:r>
        <w:rPr>
          <w:rFonts w:hint="eastAsia" w:asciiTheme="minorEastAsia" w:hAnsiTheme="minorEastAsia"/>
          <w:sz w:val="24"/>
          <w:szCs w:val="24"/>
        </w:rPr>
        <w:t>不断夯实提供优质产品的全面能力；建设发展公司品牌，开拓国内市场；建立生态供应链，关注上下游供应链健康；大力引进专业人才，提升公司经营各个环节的专业度；整合各方资源，</w:t>
      </w:r>
      <w:r>
        <w:rPr>
          <w:rFonts w:asciiTheme="minorEastAsia" w:hAnsiTheme="minorEastAsia"/>
          <w:sz w:val="24"/>
          <w:szCs w:val="24"/>
        </w:rPr>
        <w:t>大力</w:t>
      </w:r>
      <w:r>
        <w:rPr>
          <w:rFonts w:hint="eastAsia" w:asciiTheme="minorEastAsia" w:hAnsiTheme="minorEastAsia"/>
          <w:sz w:val="24"/>
          <w:szCs w:val="24"/>
        </w:rPr>
        <w:t>推行</w:t>
      </w:r>
      <w:r>
        <w:rPr>
          <w:rFonts w:asciiTheme="minorEastAsia" w:hAnsiTheme="minorEastAsia"/>
          <w:sz w:val="24"/>
          <w:szCs w:val="24"/>
        </w:rPr>
        <w:t>商业模式</w:t>
      </w:r>
      <w:r>
        <w:rPr>
          <w:rFonts w:hint="eastAsia" w:asciiTheme="minorEastAsia" w:hAnsiTheme="minorEastAsia"/>
          <w:sz w:val="24"/>
          <w:szCs w:val="24"/>
        </w:rPr>
        <w:t>创新</w:t>
      </w:r>
      <w:r>
        <w:rPr>
          <w:rFonts w:asciiTheme="minorEastAsia" w:hAnsiTheme="minorEastAsia"/>
          <w:sz w:val="24"/>
          <w:szCs w:val="24"/>
        </w:rPr>
        <w:t>和</w:t>
      </w:r>
      <w:r>
        <w:rPr>
          <w:rFonts w:hint="eastAsia" w:asciiTheme="minorEastAsia" w:hAnsiTheme="minorEastAsia"/>
          <w:sz w:val="24"/>
          <w:szCs w:val="24"/>
        </w:rPr>
        <w:t>管理模式创新</w:t>
      </w:r>
      <w:r>
        <w:rPr>
          <w:rFonts w:asciiTheme="minorEastAsia" w:hAnsiTheme="minorEastAsia"/>
          <w:sz w:val="24"/>
          <w:szCs w:val="24"/>
        </w:rPr>
        <w:t>，</w:t>
      </w:r>
      <w:r>
        <w:rPr>
          <w:rFonts w:hint="eastAsia" w:asciiTheme="minorEastAsia" w:hAnsiTheme="minorEastAsia"/>
          <w:sz w:val="24"/>
          <w:szCs w:val="24"/>
        </w:rPr>
        <w:t>为成为行业龙头企业而努力</w:t>
      </w:r>
      <w:r>
        <w:rPr>
          <w:rFonts w:asciiTheme="minorEastAsia" w:hAnsiTheme="minorEastAsia"/>
          <w:sz w:val="24"/>
          <w:szCs w:val="24"/>
        </w:rPr>
        <w:t>。</w:t>
      </w:r>
    </w:p>
    <w:p>
      <w:pPr>
        <w:pStyle w:val="51"/>
        <w:spacing w:line="360" w:lineRule="auto"/>
        <w:ind w:left="482" w:firstLine="0" w:firstLineChars="0"/>
        <w:rPr>
          <w:rFonts w:asciiTheme="majorEastAsia" w:hAnsiTheme="majorEastAsia" w:eastAsiaTheme="majorEastAsia"/>
          <w:b/>
          <w:sz w:val="24"/>
          <w:szCs w:val="24"/>
        </w:rPr>
      </w:pPr>
      <w:r>
        <w:rPr>
          <w:rFonts w:hint="eastAsia" w:asciiTheme="majorEastAsia" w:hAnsiTheme="majorEastAsia" w:eastAsiaTheme="majorEastAsia"/>
          <w:b/>
          <w:sz w:val="24"/>
          <w:szCs w:val="24"/>
        </w:rPr>
        <w:t>2）</w:t>
      </w:r>
      <w:r>
        <w:rPr>
          <w:rFonts w:asciiTheme="majorEastAsia" w:hAnsiTheme="majorEastAsia" w:eastAsiaTheme="majorEastAsia"/>
          <w:b/>
          <w:sz w:val="24"/>
          <w:szCs w:val="24"/>
        </w:rPr>
        <w:t>战略发展方向及目标</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1、大力推行全员改善，持续提升运营效率</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继续推进全员改善的广度和深度，全面减少七大浪费，激励全体员工在更广泛、更深层次的领域实施全员改善提案，保持持续改善机制的规范运作，形成持续改善的文化氛围，达到提升产品质量、改进现场管理、消除安全隐患、降低运营成本、提高劳动效率的目的，为制造出高性价比、高质量、耐用可靠的产品提供保障。</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2、继续加大研发投入，提升产品技术水平</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根据公司战略规划和发展阶段，继续完善公司技术创新体系，加强基础研发条件建设，建立以公司经营战略为目标，以市场需求为导向的信息沟通机制。继续加大研发投入，加强市场调研活动，研究国内外消费者需求趋势，确保研发项目按时有序推进，实现突破。</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3、持续引进优秀人才，加大内部人才培养力度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在革新、提升、转变的主题下，公司始终坚持认为人才是公司持续成长的基石，始终保持开放的人才观，大力引进优秀人才，并创造有利的条件使其能够发挥最大的作用。加强价值观引导，开展批评与自我批评，鼓励员工勇于创新、积极改善，并鼓励员工自主学习、不断进步。同时加大对内部人才的培训力度，使其适应公司快速发展的步伐，发挥老员工的积极作用。</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4、用好中国市场，创建品牌和渠道</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随着国内经济的发展，国内对</w:t>
      </w:r>
      <w:r>
        <w:rPr>
          <w:rFonts w:hint="eastAsia" w:asciiTheme="minorEastAsia" w:hAnsiTheme="minorEastAsia"/>
          <w:sz w:val="24"/>
          <w:szCs w:val="24"/>
          <w:highlight w:val="none"/>
          <w:lang w:val="en-US" w:eastAsia="zh-CN"/>
        </w:rPr>
        <w:t>数控转台</w:t>
      </w:r>
      <w:r>
        <w:rPr>
          <w:rFonts w:hint="eastAsia" w:asciiTheme="minorEastAsia" w:hAnsiTheme="minorEastAsia"/>
          <w:sz w:val="24"/>
          <w:szCs w:val="24"/>
          <w:highlight w:val="none"/>
        </w:rPr>
        <w:t>产品</w:t>
      </w:r>
      <w:r>
        <w:rPr>
          <w:rFonts w:hint="eastAsia" w:asciiTheme="minorEastAsia" w:hAnsiTheme="minorEastAsia"/>
          <w:sz w:val="24"/>
          <w:szCs w:val="24"/>
        </w:rPr>
        <w:t>的需求也越来越大。公司将在原有销售的基础上，精细布局在品牌、渠道和团队方面的发展计划，建立公司自己的品牌和销售渠道，加大国内市场的推进力度，努力提高品牌知名度。公司将加大调研力度，迎合中国消费群体的需求，积极研发设计适合中国市场的产品。</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5、增强产业链服务意识，努力达到合作共赢</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公司的上游供应商供货质量和供货速度是公司为下游客户提供优质产品和服务的基础，公司将建立相应的制度，引进相应的管理人才，帮助供应商提高管理水平和生产能力，协同供应商共同进步；公司以“成就客户”为唯一存在的理由，想客户所想，做客户所需，加大对消费者需求的研究，积极开发设计符合客户预期的产品。</w:t>
      </w:r>
    </w:p>
    <w:p>
      <w:pPr>
        <w:spacing w:line="360" w:lineRule="auto"/>
        <w:ind w:firstLine="240" w:firstLineChars="100"/>
        <w:rPr>
          <w:rFonts w:asciiTheme="minorEastAsia" w:hAnsiTheme="minorEastAsia"/>
          <w:sz w:val="24"/>
          <w:szCs w:val="24"/>
        </w:rPr>
      </w:pPr>
      <w:r>
        <w:rPr>
          <w:rFonts w:hint="eastAsia" w:asciiTheme="minorEastAsia" w:hAnsiTheme="minorEastAsia"/>
          <w:sz w:val="24"/>
          <w:szCs w:val="24"/>
        </w:rPr>
        <w:t>6、深化内控管理，加强风险控制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深化内控体系建设，进一步强化内部审计经济监督职能，持续推进风险管理融入整个经营管理流程。强化公司管理目标，完善和优化公司管理流程，提升公司经营效果和效率。</w:t>
      </w:r>
    </w:p>
    <w:p>
      <w:pPr>
        <w:spacing w:before="156" w:beforeLines="50" w:after="156" w:afterLines="50" w:line="360" w:lineRule="auto"/>
        <w:outlineLvl w:val="1"/>
        <w:rPr>
          <w:rFonts w:asciiTheme="minorEastAsia" w:hAnsiTheme="minorEastAsia"/>
          <w:sz w:val="24"/>
          <w:szCs w:val="24"/>
        </w:rPr>
      </w:pPr>
      <w:bookmarkStart w:id="8" w:name="_Toc451610893"/>
      <w:bookmarkStart w:id="9" w:name="_Toc451610986"/>
      <w:r>
        <w:rPr>
          <w:rFonts w:hint="eastAsia" w:cs="Times New Roman" w:asciiTheme="majorEastAsia" w:hAnsiTheme="majorEastAsia" w:eastAsiaTheme="majorEastAsia"/>
          <w:b/>
          <w:sz w:val="24"/>
          <w:szCs w:val="24"/>
        </w:rPr>
        <w:t>（二）市场业绩</w:t>
      </w:r>
      <w:bookmarkEnd w:id="8"/>
      <w:bookmarkEnd w:id="9"/>
    </w:p>
    <w:p>
      <w:pPr>
        <w:tabs>
          <w:tab w:val="left" w:pos="142"/>
        </w:tabs>
        <w:spacing w:before="156" w:beforeLines="50" w:after="156" w:afterLines="50"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）市场地位</w:t>
      </w:r>
    </w:p>
    <w:p>
      <w:pPr>
        <w:spacing w:line="360" w:lineRule="auto"/>
        <w:ind w:firstLine="600" w:firstLineChars="250"/>
        <w:rPr>
          <w:rFonts w:hint="eastAsia" w:ascii="宋体" w:hAnsi="宋体"/>
          <w:bCs/>
          <w:sz w:val="24"/>
          <w:lang w:eastAsia="zh-CN"/>
        </w:rPr>
      </w:pPr>
      <w:r>
        <w:rPr>
          <w:rFonts w:hint="eastAsia" w:ascii="宋体" w:hAnsi="宋体"/>
          <w:bCs/>
          <w:sz w:val="24"/>
          <w:lang w:eastAsia="zh-CN"/>
        </w:rPr>
        <w:t>公司形成API+制剂的产业联动，在第五批国家药品集采中，北陆药业、扬子江等核心客户碘海醇制剂中标，第六批国家药品集采中，北陆药业、扬子江碘帕醇制剂中标，核心大客户的集采中标保证了其足够的市场地位，也保障了我司产品的市场占有率。据估算公司主营产品碘海醇原料药细分市场的国内市场占有率2021年为12%，2022年为18%。属于生物医药产业链中的特色原料药。公司已通过质量管理体系认证、环境管理体系认证、职业安全健康管理体系、知识产权管理体系认证、WC认证、GMP认证，建有经营管理ERP/OA、控制系统DCS、造影剂纯化层析系统、智能一体化数字化平台、信息发布及全景监控系统等信息化系统，获得专家特新中小企业、高新技术企业、浙江省级商业秘密保护基地示范点、浙江省清洁生产企业。</w:t>
      </w:r>
    </w:p>
    <w:p>
      <w:pPr>
        <w:tabs>
          <w:tab w:val="left" w:pos="142"/>
        </w:tabs>
        <w:spacing w:before="156" w:beforeLines="50" w:after="156" w:afterLines="50"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）业务增长和新增市场</w:t>
      </w:r>
    </w:p>
    <w:p>
      <w:pPr>
        <w:spacing w:line="360" w:lineRule="auto"/>
        <w:ind w:firstLine="600" w:firstLineChars="250"/>
        <w:rPr>
          <w:rFonts w:asciiTheme="minorEastAsia" w:hAnsiTheme="minorEastAsia"/>
          <w:sz w:val="24"/>
          <w:szCs w:val="24"/>
        </w:rPr>
      </w:pPr>
      <w:r>
        <w:rPr>
          <w:rFonts w:hint="eastAsia" w:asciiTheme="minorEastAsia" w:hAnsiTheme="minorEastAsia"/>
          <w:sz w:val="24"/>
          <w:szCs w:val="24"/>
        </w:rPr>
        <w:t>公司加强市场网络建设，以“创新破难，扩大规模增实力”的理念为指导思想，立足于公司的技术优势，继续维护好原有经销商的服务工作，利用品牌优势，坚持长期业务持续发展的指导方针、扩张市场份额。</w:t>
      </w:r>
    </w:p>
    <w:p>
      <w:pPr>
        <w:spacing w:before="156" w:beforeLines="50" w:after="156" w:afterLines="50" w:line="276" w:lineRule="auto"/>
        <w:rPr>
          <w:rFonts w:ascii="宋体" w:hAnsi="宋体"/>
          <w:b/>
          <w:sz w:val="24"/>
          <w:szCs w:val="24"/>
        </w:rPr>
      </w:pPr>
      <w:r>
        <w:rPr>
          <w:rFonts w:hint="eastAsia" w:cs="Times New Roman" w:asciiTheme="majorEastAsia" w:hAnsiTheme="majorEastAsia" w:eastAsiaTheme="majorEastAsia"/>
          <w:b/>
          <w:sz w:val="24"/>
          <w:szCs w:val="24"/>
        </w:rPr>
        <w:t>四、</w:t>
      </w:r>
      <w:r>
        <w:rPr>
          <w:rFonts w:hint="eastAsia" w:ascii="宋体" w:hAnsi="宋体"/>
          <w:b/>
          <w:sz w:val="24"/>
          <w:szCs w:val="24"/>
        </w:rPr>
        <w:t>管理责任：</w:t>
      </w:r>
    </w:p>
    <w:p>
      <w:pPr>
        <w:spacing w:before="156" w:beforeLines="50" w:after="156" w:afterLines="50" w:line="276" w:lineRule="auto"/>
        <w:ind w:firstLine="426" w:firstLineChars="177"/>
        <w:rPr>
          <w:rFonts w:ascii="宋体" w:hAnsi="宋体"/>
          <w:b/>
          <w:sz w:val="24"/>
          <w:szCs w:val="24"/>
        </w:rPr>
      </w:pPr>
      <w:r>
        <w:rPr>
          <w:rFonts w:hint="eastAsia" w:ascii="宋体" w:hAnsi="宋体"/>
          <w:b/>
          <w:sz w:val="24"/>
          <w:szCs w:val="24"/>
        </w:rPr>
        <w:t>1、管理层的</w:t>
      </w:r>
      <w:r>
        <w:rPr>
          <w:rFonts w:ascii="宋体" w:hAnsi="宋体"/>
          <w:b/>
          <w:sz w:val="24"/>
          <w:szCs w:val="24"/>
        </w:rPr>
        <w:t>经营责任</w:t>
      </w:r>
    </w:p>
    <w:p>
      <w:pPr>
        <w:spacing w:before="156" w:beforeLines="50" w:after="156" w:afterLines="50" w:line="360" w:lineRule="auto"/>
        <w:ind w:firstLine="424" w:firstLineChars="177"/>
        <w:rPr>
          <w:rFonts w:ascii="宋体" w:hAnsi="宋体"/>
          <w:sz w:val="24"/>
        </w:rPr>
      </w:pPr>
      <w:bookmarkStart w:id="10" w:name="_Toc230143126"/>
      <w:bookmarkStart w:id="11" w:name="_Toc211149629"/>
      <w:r>
        <w:rPr>
          <w:rFonts w:hint="eastAsia" w:ascii="宋体" w:hAnsi="宋体"/>
          <w:sz w:val="24"/>
        </w:rPr>
        <w:t>公司已实行经营责任制，总经理每年给公司管理层下达经营指标，要求定期汇报公司的经营情况，包括生产、销售、资产运行、税务、利润等有关情况，每年对经营者进行一次考核。高层领导又把经营责任层层分解给下属各部门，每年对各部门进行业绩考核。</w:t>
      </w:r>
    </w:p>
    <w:p>
      <w:pPr>
        <w:spacing w:before="156" w:beforeLines="50" w:after="156" w:afterLines="50" w:line="276" w:lineRule="auto"/>
        <w:ind w:firstLine="426" w:firstLineChars="177"/>
        <w:rPr>
          <w:rFonts w:ascii="宋体" w:hAnsi="宋体"/>
          <w:b/>
          <w:sz w:val="24"/>
          <w:szCs w:val="24"/>
        </w:rPr>
      </w:pPr>
      <w:r>
        <w:rPr>
          <w:rFonts w:hint="eastAsia" w:ascii="宋体" w:hAnsi="宋体"/>
          <w:b/>
          <w:sz w:val="24"/>
          <w:szCs w:val="24"/>
        </w:rPr>
        <w:t>2、</w:t>
      </w:r>
      <w:r>
        <w:rPr>
          <w:rFonts w:ascii="宋体" w:hAnsi="宋体"/>
          <w:b/>
          <w:sz w:val="24"/>
          <w:szCs w:val="24"/>
        </w:rPr>
        <w:t>财务方面的责任</w:t>
      </w:r>
      <w:bookmarkEnd w:id="10"/>
      <w:bookmarkEnd w:id="11"/>
    </w:p>
    <w:p>
      <w:pPr>
        <w:spacing w:line="360" w:lineRule="auto"/>
        <w:ind w:firstLine="480" w:firstLineChars="200"/>
        <w:rPr>
          <w:rFonts w:ascii="宋体" w:hAnsi="宋体"/>
          <w:sz w:val="24"/>
        </w:rPr>
      </w:pPr>
      <w:bookmarkStart w:id="12" w:name="_Toc230143127"/>
      <w:bookmarkStart w:id="13" w:name="_Toc211149630"/>
      <w:r>
        <w:rPr>
          <w:rFonts w:hint="eastAsia" w:ascii="宋体" w:hAnsi="宋体"/>
          <w:sz w:val="24"/>
        </w:rPr>
        <w:t>公司依据国家会计准则以及相关法律法规要求，建立健全了包括资产管理、资金管理、技术开发费用管理、成本核算规范、财务报告管理规范等规章制度。公司按照董事会要求进行财务预算和决算，建立了全面的财务报表体系，按月编制和上报各类财务会计报表。对公司重大投资决策和经营活动进行财务分析，规避公司经营风险。</w:t>
      </w:r>
    </w:p>
    <w:p>
      <w:pPr>
        <w:spacing w:line="360" w:lineRule="auto"/>
        <w:ind w:firstLine="480" w:firstLineChars="200"/>
        <w:rPr>
          <w:rFonts w:ascii="宋体" w:hAnsi="宋体"/>
          <w:sz w:val="24"/>
        </w:rPr>
      </w:pPr>
      <w:r>
        <w:rPr>
          <w:rFonts w:hint="eastAsia" w:ascii="宋体" w:hAnsi="宋体"/>
          <w:sz w:val="24"/>
        </w:rPr>
        <w:t>根据公司相关财务管理制度，公司完善内控制度，强化内部制约制度，所有业务均须由经办人注明事由，部门负责人审核和公司领导审批，以确认其真实性和合法性，财务部严格把关。公司各类费用支出严格按规定权限进行审批。对重大项目建设资金支出，按项目实施计划和工程进度，由项目执行负责人审核，分管领导签署确认意见，财务部门严格把关。</w:t>
      </w:r>
    </w:p>
    <w:bookmarkEnd w:id="12"/>
    <w:bookmarkEnd w:id="13"/>
    <w:p>
      <w:pPr>
        <w:spacing w:before="156" w:beforeLines="50" w:after="156" w:afterLines="50" w:line="276" w:lineRule="auto"/>
        <w:ind w:firstLine="426" w:firstLineChars="177"/>
        <w:rPr>
          <w:rFonts w:ascii="宋体" w:hAnsi="宋体"/>
          <w:b/>
          <w:sz w:val="24"/>
          <w:szCs w:val="24"/>
        </w:rPr>
      </w:pPr>
      <w:r>
        <w:rPr>
          <w:rFonts w:hint="eastAsia" w:ascii="宋体" w:hAnsi="宋体"/>
          <w:b/>
          <w:sz w:val="24"/>
          <w:szCs w:val="24"/>
        </w:rPr>
        <w:t>3、运营的透明性</w:t>
      </w:r>
    </w:p>
    <w:p>
      <w:pPr>
        <w:adjustRightInd w:val="0"/>
        <w:spacing w:line="360" w:lineRule="auto"/>
        <w:ind w:firstLine="480" w:firstLineChars="200"/>
        <w:rPr>
          <w:rFonts w:ascii="宋体" w:hAnsi="宋体"/>
          <w:color w:val="000000"/>
          <w:sz w:val="24"/>
        </w:rPr>
      </w:pPr>
      <w:r>
        <w:rPr>
          <w:rFonts w:hint="eastAsia" w:ascii="宋体" w:hAnsi="宋体"/>
          <w:color w:val="000000"/>
          <w:sz w:val="24"/>
          <w:highlight w:val="none"/>
          <w:lang w:eastAsia="zh-CN"/>
        </w:rPr>
        <w:t>海昌</w:t>
      </w:r>
      <w:r>
        <w:rPr>
          <w:rFonts w:hint="eastAsia" w:ascii="宋体" w:hAnsi="宋体"/>
          <w:color w:val="000000"/>
          <w:sz w:val="24"/>
        </w:rPr>
        <w:t>注重经营信息的透明和共享，人事任免、质量问题、先进方法、员工奖励等也都会定期在宣传栏中发布，广泛听取员工意见建议。</w:t>
      </w:r>
    </w:p>
    <w:p>
      <w:pPr>
        <w:spacing w:before="156" w:beforeLines="50" w:after="156" w:afterLines="50" w:line="276" w:lineRule="auto"/>
        <w:ind w:firstLine="426" w:firstLineChars="177"/>
        <w:rPr>
          <w:rFonts w:ascii="宋体" w:hAnsi="宋体"/>
          <w:b/>
          <w:sz w:val="24"/>
          <w:szCs w:val="24"/>
        </w:rPr>
      </w:pPr>
      <w:r>
        <w:rPr>
          <w:rFonts w:hint="eastAsia" w:ascii="宋体" w:hAnsi="宋体"/>
          <w:b/>
          <w:sz w:val="24"/>
          <w:szCs w:val="24"/>
        </w:rPr>
        <w:t>4、</w:t>
      </w:r>
      <w:r>
        <w:rPr>
          <w:rFonts w:ascii="宋体" w:hAnsi="宋体"/>
          <w:b/>
          <w:sz w:val="24"/>
          <w:szCs w:val="24"/>
        </w:rPr>
        <w:t>审计的独立性</w:t>
      </w:r>
    </w:p>
    <w:p>
      <w:pPr>
        <w:adjustRightInd w:val="0"/>
        <w:spacing w:line="360" w:lineRule="auto"/>
        <w:ind w:firstLine="480" w:firstLineChars="200"/>
        <w:rPr>
          <w:rFonts w:ascii="宋体" w:hAnsi="宋体"/>
          <w:color w:val="000000"/>
          <w:sz w:val="24"/>
        </w:rPr>
      </w:pPr>
      <w:r>
        <w:rPr>
          <w:rFonts w:hint="eastAsia" w:ascii="宋体" w:hAnsi="宋体"/>
          <w:color w:val="000000"/>
          <w:sz w:val="24"/>
        </w:rPr>
        <w:t>公司聘请会计师事务所进行外部审计并出具审计报告，以保证公司的会计报表符合国家的《企业会计准则》和《企业会计制度》，公正地反映公司的财务状况，经营成果和现金流量。事务所具备担任审计机构的任职条件，具有相关专业的履职能力，与公司没有关联利益关系，确保了外部审计的独立性。</w:t>
      </w:r>
    </w:p>
    <w:p>
      <w:pPr>
        <w:spacing w:before="156" w:beforeLines="50" w:after="156" w:afterLines="50" w:line="276" w:lineRule="auto"/>
        <w:ind w:firstLine="426" w:firstLineChars="177"/>
        <w:rPr>
          <w:rFonts w:ascii="宋体" w:hAnsi="宋体"/>
          <w:b/>
          <w:sz w:val="24"/>
          <w:szCs w:val="24"/>
        </w:rPr>
      </w:pPr>
      <w:bookmarkStart w:id="14" w:name="_Toc230143129"/>
      <w:bookmarkStart w:id="15" w:name="_Toc211149631"/>
      <w:r>
        <w:rPr>
          <w:rFonts w:hint="eastAsia" w:ascii="宋体" w:hAnsi="宋体"/>
          <w:b/>
          <w:sz w:val="24"/>
          <w:szCs w:val="24"/>
        </w:rPr>
        <w:t>5、</w:t>
      </w:r>
      <w:r>
        <w:rPr>
          <w:rFonts w:ascii="宋体" w:hAnsi="宋体"/>
          <w:b/>
          <w:sz w:val="24"/>
          <w:szCs w:val="24"/>
        </w:rPr>
        <w:t>利益的保护</w:t>
      </w:r>
      <w:bookmarkEnd w:id="14"/>
      <w:bookmarkEnd w:id="15"/>
    </w:p>
    <w:p>
      <w:pPr>
        <w:adjustRightInd w:val="0"/>
        <w:spacing w:line="360" w:lineRule="auto"/>
        <w:ind w:firstLine="420"/>
        <w:rPr>
          <w:rFonts w:ascii="宋体" w:hAnsi="宋体"/>
          <w:color w:val="000000"/>
          <w:sz w:val="24"/>
        </w:rPr>
      </w:pPr>
      <w:r>
        <w:rPr>
          <w:rFonts w:ascii="宋体" w:hAnsi="宋体"/>
          <w:sz w:val="24"/>
        </w:rPr>
        <w:t>公司一贯坚持互利共赢的经营理念，并通过各种方式实现对顾客</w:t>
      </w:r>
      <w:r>
        <w:rPr>
          <w:rFonts w:hint="eastAsia" w:ascii="宋体" w:hAnsi="宋体"/>
          <w:sz w:val="24"/>
        </w:rPr>
        <w:t>、供应商</w:t>
      </w:r>
      <w:r>
        <w:rPr>
          <w:rFonts w:ascii="宋体" w:hAnsi="宋体"/>
          <w:sz w:val="24"/>
        </w:rPr>
        <w:t>等方面利益的负责，具体见表</w:t>
      </w:r>
      <w:r>
        <w:rPr>
          <w:rFonts w:hint="eastAsia" w:ascii="宋体" w:hAnsi="宋体"/>
          <w:sz w:val="24"/>
        </w:rPr>
        <w:t>5-1</w:t>
      </w:r>
      <w:r>
        <w:rPr>
          <w:rFonts w:ascii="宋体" w:hAnsi="宋体"/>
          <w:color w:val="000000"/>
          <w:sz w:val="24"/>
        </w:rPr>
        <w:t>。</w:t>
      </w:r>
    </w:p>
    <w:p>
      <w:pPr>
        <w:pStyle w:val="79"/>
        <w:spacing w:before="120"/>
        <w:jc w:val="center"/>
        <w:rPr>
          <w:rFonts w:ascii="宋体" w:hAnsi="宋体"/>
        </w:rPr>
      </w:pPr>
      <w:bookmarkStart w:id="16" w:name="_Ref326703132"/>
      <w:r>
        <w:rPr>
          <w:rFonts w:hint="eastAsia" w:ascii="宋体" w:hAnsi="宋体"/>
        </w:rPr>
        <w:t>表5-</w:t>
      </w:r>
      <w:bookmarkEnd w:id="16"/>
      <w:r>
        <w:rPr>
          <w:rFonts w:hint="eastAsia" w:ascii="宋体" w:hAnsi="宋体"/>
        </w:rPr>
        <w:t xml:space="preserve">1 </w:t>
      </w:r>
      <w:r>
        <w:rPr>
          <w:rFonts w:ascii="宋体" w:hAnsi="宋体"/>
        </w:rPr>
        <w:t>各相关方利益保护措施</w:t>
      </w:r>
    </w:p>
    <w:tbl>
      <w:tblPr>
        <w:tblStyle w:val="38"/>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5420"/>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620" w:type="dxa"/>
            <w:shd w:val="clear" w:color="auto" w:fill="A8D08D" w:themeFill="accent6" w:themeFillTint="99"/>
            <w:vAlign w:val="center"/>
          </w:tcPr>
          <w:p>
            <w:pPr>
              <w:spacing w:line="276" w:lineRule="auto"/>
              <w:jc w:val="center"/>
              <w:rPr>
                <w:rFonts w:ascii="宋体" w:hAnsi="宋体" w:cs="Courier New"/>
                <w:b/>
                <w:szCs w:val="18"/>
              </w:rPr>
            </w:pPr>
            <w:r>
              <w:rPr>
                <w:rFonts w:hint="eastAsia" w:ascii="宋体" w:hAnsi="宋体" w:cs="Courier New"/>
                <w:b/>
                <w:szCs w:val="18"/>
              </w:rPr>
              <w:t>主要相关方</w:t>
            </w:r>
          </w:p>
        </w:tc>
        <w:tc>
          <w:tcPr>
            <w:tcW w:w="5420" w:type="dxa"/>
            <w:shd w:val="clear" w:color="auto" w:fill="A8D08D" w:themeFill="accent6" w:themeFillTint="99"/>
            <w:vAlign w:val="center"/>
          </w:tcPr>
          <w:p>
            <w:pPr>
              <w:spacing w:line="276" w:lineRule="auto"/>
              <w:jc w:val="center"/>
              <w:rPr>
                <w:rFonts w:ascii="宋体" w:hAnsi="宋体" w:cs="Courier New"/>
                <w:b/>
                <w:szCs w:val="18"/>
              </w:rPr>
            </w:pPr>
            <w:r>
              <w:rPr>
                <w:rFonts w:hint="eastAsia" w:ascii="宋体" w:hAnsi="宋体" w:cs="Courier New"/>
                <w:b/>
                <w:szCs w:val="18"/>
              </w:rPr>
              <w:t>具体措施</w:t>
            </w:r>
          </w:p>
        </w:tc>
        <w:tc>
          <w:tcPr>
            <w:tcW w:w="2009" w:type="dxa"/>
            <w:shd w:val="clear" w:color="auto" w:fill="A8D08D" w:themeFill="accent6" w:themeFillTint="99"/>
            <w:vAlign w:val="center"/>
          </w:tcPr>
          <w:p>
            <w:pPr>
              <w:spacing w:line="276" w:lineRule="auto"/>
              <w:jc w:val="center"/>
              <w:rPr>
                <w:rFonts w:ascii="宋体" w:hAnsi="宋体" w:cs="Courier New"/>
                <w:b/>
                <w:szCs w:val="18"/>
              </w:rPr>
            </w:pPr>
            <w:r>
              <w:rPr>
                <w:rFonts w:hint="eastAsia" w:ascii="宋体" w:hAnsi="宋体" w:cs="Courier New"/>
                <w:b/>
                <w:szCs w:val="18"/>
              </w:rPr>
              <w:t>测量指标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shd w:val="clear" w:color="auto" w:fill="auto"/>
            <w:vAlign w:val="center"/>
          </w:tcPr>
          <w:p>
            <w:pPr>
              <w:spacing w:line="276" w:lineRule="auto"/>
              <w:jc w:val="center"/>
              <w:rPr>
                <w:rFonts w:ascii="宋体" w:hAnsi="宋体" w:cs="Courier New"/>
                <w:color w:val="000000"/>
                <w:szCs w:val="18"/>
              </w:rPr>
            </w:pPr>
            <w:r>
              <w:rPr>
                <w:rFonts w:hint="eastAsia" w:ascii="宋体" w:hAnsi="宋体" w:cs="Courier New"/>
                <w:color w:val="000000"/>
                <w:szCs w:val="18"/>
              </w:rPr>
              <w:t>顾客</w:t>
            </w:r>
          </w:p>
        </w:tc>
        <w:tc>
          <w:tcPr>
            <w:tcW w:w="5420" w:type="dxa"/>
            <w:shd w:val="clear" w:color="auto" w:fill="auto"/>
            <w:vAlign w:val="center"/>
          </w:tcPr>
          <w:p>
            <w:pPr>
              <w:spacing w:line="276" w:lineRule="auto"/>
              <w:rPr>
                <w:rFonts w:ascii="宋体" w:hAnsi="宋体" w:cs="Courier New"/>
                <w:color w:val="000000"/>
                <w:szCs w:val="18"/>
              </w:rPr>
            </w:pPr>
            <w:r>
              <w:rPr>
                <w:rFonts w:hint="eastAsia" w:ascii="宋体" w:hAnsi="宋体" w:cs="Courier New"/>
                <w:color w:val="000000"/>
                <w:szCs w:val="18"/>
              </w:rPr>
              <w:t>1、明确顾客需要，细分和选择顾客对象。2、降低顾客成本，给客户带来各种便利及实现有效沟通。3、提高产品的价值和质量，保护顾客的利益等。4、在资源有效的情况下，优先保证重点顾客的交货期。5、加强对客户的服务职能，提高顾客满意度。</w:t>
            </w:r>
          </w:p>
        </w:tc>
        <w:tc>
          <w:tcPr>
            <w:tcW w:w="2009" w:type="dxa"/>
            <w:vAlign w:val="center"/>
          </w:tcPr>
          <w:p>
            <w:pPr>
              <w:spacing w:line="276" w:lineRule="auto"/>
              <w:rPr>
                <w:rFonts w:ascii="宋体" w:hAnsi="宋体" w:cs="Courier New"/>
                <w:color w:val="000000"/>
                <w:szCs w:val="18"/>
              </w:rPr>
            </w:pPr>
            <w:r>
              <w:rPr>
                <w:rFonts w:hint="eastAsia" w:ascii="宋体" w:hAnsi="宋体" w:cs="Courier New"/>
                <w:color w:val="000000"/>
                <w:szCs w:val="18"/>
              </w:rPr>
              <w:t>顾客满意度等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shd w:val="clear" w:color="auto" w:fill="auto"/>
            <w:vAlign w:val="center"/>
          </w:tcPr>
          <w:p>
            <w:pPr>
              <w:spacing w:line="276" w:lineRule="auto"/>
              <w:jc w:val="center"/>
              <w:rPr>
                <w:rFonts w:ascii="宋体" w:hAnsi="宋体" w:cs="Courier New"/>
                <w:color w:val="000000"/>
                <w:szCs w:val="18"/>
              </w:rPr>
            </w:pPr>
            <w:r>
              <w:rPr>
                <w:rFonts w:hint="eastAsia" w:ascii="宋体" w:hAnsi="宋体" w:cs="Courier New"/>
                <w:color w:val="000000"/>
                <w:szCs w:val="18"/>
              </w:rPr>
              <w:t>政府及社会公众</w:t>
            </w:r>
          </w:p>
        </w:tc>
        <w:tc>
          <w:tcPr>
            <w:tcW w:w="5420" w:type="dxa"/>
            <w:shd w:val="clear" w:color="auto" w:fill="auto"/>
            <w:vAlign w:val="center"/>
          </w:tcPr>
          <w:p>
            <w:pPr>
              <w:spacing w:line="276" w:lineRule="auto"/>
              <w:rPr>
                <w:rFonts w:ascii="宋体" w:hAnsi="宋体" w:cs="Courier New"/>
                <w:color w:val="000000"/>
                <w:szCs w:val="18"/>
              </w:rPr>
            </w:pPr>
            <w:r>
              <w:rPr>
                <w:rFonts w:hint="eastAsia" w:ascii="宋体" w:hAnsi="宋体" w:cs="Courier New"/>
                <w:color w:val="000000"/>
                <w:szCs w:val="18"/>
              </w:rPr>
              <w:t>1、依法纳税，绝不逃税漏税。2、公司决不生产和销售伪劣产品，也不哄抬物价或实行垄断价格对社会公众负责。3、推行“清洁生产”、“节能减排”、“绿色制造”等。4、设立救助奖励资金，支持贫困大学生及奖励优秀学生。</w:t>
            </w:r>
          </w:p>
        </w:tc>
        <w:tc>
          <w:tcPr>
            <w:tcW w:w="2009" w:type="dxa"/>
            <w:vAlign w:val="center"/>
          </w:tcPr>
          <w:p>
            <w:pPr>
              <w:spacing w:line="276" w:lineRule="auto"/>
              <w:rPr>
                <w:rFonts w:ascii="宋体" w:hAnsi="宋体" w:cs="Courier New"/>
                <w:color w:val="000000"/>
                <w:szCs w:val="18"/>
              </w:rPr>
            </w:pPr>
            <w:r>
              <w:rPr>
                <w:rFonts w:hint="eastAsia" w:ascii="宋体" w:hAnsi="宋体" w:cs="Courier New"/>
                <w:color w:val="000000"/>
                <w:szCs w:val="18"/>
              </w:rPr>
              <w:t>慈善捐款额、上缴税收额等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shd w:val="clear" w:color="auto" w:fill="auto"/>
            <w:vAlign w:val="center"/>
          </w:tcPr>
          <w:p>
            <w:pPr>
              <w:spacing w:line="276" w:lineRule="auto"/>
              <w:jc w:val="center"/>
              <w:rPr>
                <w:rFonts w:ascii="宋体" w:hAnsi="宋体" w:cs="Courier New"/>
                <w:color w:val="000000"/>
                <w:szCs w:val="18"/>
              </w:rPr>
            </w:pPr>
            <w:r>
              <w:rPr>
                <w:rFonts w:hint="eastAsia" w:ascii="宋体" w:hAnsi="宋体" w:cs="Courier New"/>
                <w:color w:val="000000"/>
                <w:szCs w:val="18"/>
              </w:rPr>
              <w:t>供应商及代理商</w:t>
            </w:r>
          </w:p>
        </w:tc>
        <w:tc>
          <w:tcPr>
            <w:tcW w:w="5420" w:type="dxa"/>
            <w:shd w:val="clear" w:color="auto" w:fill="auto"/>
            <w:vAlign w:val="center"/>
          </w:tcPr>
          <w:p>
            <w:pPr>
              <w:spacing w:line="276" w:lineRule="auto"/>
              <w:rPr>
                <w:rFonts w:ascii="宋体" w:hAnsi="宋体" w:cs="Courier New"/>
                <w:color w:val="000000"/>
                <w:szCs w:val="18"/>
              </w:rPr>
            </w:pPr>
            <w:r>
              <w:rPr>
                <w:rFonts w:hint="eastAsia" w:ascii="宋体" w:hAnsi="宋体" w:cs="Courier New"/>
                <w:color w:val="000000"/>
                <w:szCs w:val="18"/>
              </w:rPr>
              <w:t>1、将“流程透明、集约双赢”等定为公司的采购方针，保障供方的利润空间等。2、按时建立了清晰的供应商接口、多渠道的计划和复审过程来确保供应商符合要求，使质量、成本、准时交付都得到了满足。</w:t>
            </w:r>
          </w:p>
        </w:tc>
        <w:tc>
          <w:tcPr>
            <w:tcW w:w="2009" w:type="dxa"/>
            <w:vAlign w:val="center"/>
          </w:tcPr>
          <w:p>
            <w:pPr>
              <w:spacing w:line="276" w:lineRule="auto"/>
              <w:rPr>
                <w:rFonts w:ascii="宋体" w:hAnsi="宋体" w:cs="Courier New"/>
                <w:color w:val="000000"/>
                <w:szCs w:val="18"/>
              </w:rPr>
            </w:pPr>
            <w:r>
              <w:rPr>
                <w:rFonts w:hint="eastAsia" w:ascii="宋体" w:hAnsi="宋体" w:cs="Courier New"/>
                <w:color w:val="000000"/>
                <w:szCs w:val="18"/>
              </w:rPr>
              <w:t>采购交期达成率等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shd w:val="clear" w:color="auto" w:fill="auto"/>
            <w:vAlign w:val="center"/>
          </w:tcPr>
          <w:p>
            <w:pPr>
              <w:spacing w:line="276" w:lineRule="auto"/>
              <w:jc w:val="center"/>
              <w:rPr>
                <w:rFonts w:ascii="宋体" w:hAnsi="宋体" w:cs="Courier New"/>
                <w:color w:val="000000"/>
                <w:szCs w:val="18"/>
              </w:rPr>
            </w:pPr>
            <w:r>
              <w:rPr>
                <w:rFonts w:hint="eastAsia" w:ascii="宋体" w:hAnsi="宋体" w:cs="Courier New"/>
                <w:color w:val="000000"/>
                <w:szCs w:val="18"/>
              </w:rPr>
              <w:t>员工</w:t>
            </w:r>
          </w:p>
        </w:tc>
        <w:tc>
          <w:tcPr>
            <w:tcW w:w="5420" w:type="dxa"/>
            <w:shd w:val="clear" w:color="auto" w:fill="auto"/>
            <w:vAlign w:val="center"/>
          </w:tcPr>
          <w:p>
            <w:pPr>
              <w:spacing w:line="276" w:lineRule="auto"/>
              <w:rPr>
                <w:rFonts w:ascii="宋体" w:hAnsi="宋体" w:cs="Courier New"/>
                <w:color w:val="000000"/>
                <w:szCs w:val="18"/>
              </w:rPr>
            </w:pPr>
            <w:r>
              <w:rPr>
                <w:rFonts w:hint="eastAsia" w:ascii="宋体" w:hAnsi="宋体" w:cs="Courier New"/>
                <w:color w:val="000000"/>
                <w:szCs w:val="18"/>
              </w:rPr>
              <w:t>1、关心员工生活，使员工有归宿感。2、增加员工工资。3、改善生活环境。4、改善员工福利。5、开展各种文娱活动，改善员工生活。</w:t>
            </w:r>
          </w:p>
        </w:tc>
        <w:tc>
          <w:tcPr>
            <w:tcW w:w="2009" w:type="dxa"/>
            <w:vAlign w:val="center"/>
          </w:tcPr>
          <w:p>
            <w:pPr>
              <w:spacing w:line="276" w:lineRule="auto"/>
              <w:rPr>
                <w:rFonts w:ascii="宋体" w:hAnsi="宋体" w:cs="Courier New"/>
                <w:color w:val="000000"/>
                <w:szCs w:val="18"/>
              </w:rPr>
            </w:pPr>
            <w:r>
              <w:rPr>
                <w:rFonts w:hint="eastAsia" w:ascii="宋体" w:hAnsi="宋体" w:cs="Courier New"/>
                <w:color w:val="000000"/>
                <w:szCs w:val="18"/>
              </w:rPr>
              <w:t>员工投诉次数及投诉处理的及时性、培训次数、员工收入增长率等</w:t>
            </w:r>
          </w:p>
        </w:tc>
      </w:tr>
    </w:tbl>
    <w:p>
      <w:pPr>
        <w:tabs>
          <w:tab w:val="left" w:pos="10080"/>
        </w:tabs>
        <w:snapToGrid w:val="0"/>
        <w:spacing w:line="240" w:lineRule="atLeast"/>
        <w:ind w:right="25" w:rightChars="12"/>
        <w:rPr>
          <w:b/>
          <w:szCs w:val="21"/>
        </w:rPr>
      </w:pPr>
    </w:p>
    <w:p>
      <w:pPr>
        <w:spacing w:before="156" w:beforeLines="50" w:after="156" w:afterLines="50" w:line="276" w:lineRule="auto"/>
        <w:outlineLvl w:val="0"/>
        <w:rPr>
          <w:rFonts w:cs="Times New Roman" w:asciiTheme="majorEastAsia" w:hAnsiTheme="majorEastAsia" w:eastAsiaTheme="majorEastAsia"/>
          <w:b/>
          <w:color w:val="000000" w:themeColor="text1"/>
          <w:sz w:val="28"/>
          <w:szCs w:val="24"/>
          <w14:textFill>
            <w14:solidFill>
              <w14:schemeClr w14:val="tx1"/>
            </w14:solidFill>
          </w14:textFill>
        </w:rPr>
      </w:pPr>
      <w:bookmarkStart w:id="17" w:name="_Toc451610988"/>
      <w:bookmarkStart w:id="18" w:name="_Toc451610895"/>
      <w:r>
        <w:rPr>
          <w:rFonts w:hint="eastAsia" w:cs="Times New Roman" w:asciiTheme="majorEastAsia" w:hAnsiTheme="majorEastAsia" w:eastAsiaTheme="majorEastAsia"/>
          <w:b/>
          <w:color w:val="000000" w:themeColor="text1"/>
          <w:sz w:val="28"/>
          <w:szCs w:val="24"/>
          <w14:textFill>
            <w14:solidFill>
              <w14:schemeClr w14:val="tx1"/>
            </w14:solidFill>
          </w14:textFill>
        </w:rPr>
        <w:t>四、社会责任</w:t>
      </w:r>
      <w:bookmarkEnd w:id="17"/>
      <w:bookmarkEnd w:id="18"/>
    </w:p>
    <w:p>
      <w:pPr>
        <w:spacing w:before="156" w:beforeLines="50" w:after="156" w:afterLines="50" w:line="276" w:lineRule="auto"/>
        <w:outlineLvl w:val="1"/>
        <w:rPr>
          <w:rFonts w:cs="Times New Roman" w:asciiTheme="majorEastAsia" w:hAnsiTheme="majorEastAsia" w:eastAsiaTheme="majorEastAsia"/>
          <w:b/>
          <w:color w:val="000000" w:themeColor="text1"/>
          <w:sz w:val="24"/>
          <w:szCs w:val="24"/>
          <w14:textFill>
            <w14:solidFill>
              <w14:schemeClr w14:val="tx1"/>
            </w14:solidFill>
          </w14:textFill>
        </w:rPr>
      </w:pPr>
      <w:bookmarkStart w:id="19" w:name="_Toc451610896"/>
      <w:bookmarkStart w:id="20" w:name="_Toc451610989"/>
      <w:r>
        <w:rPr>
          <w:rFonts w:hint="eastAsia" w:cs="Times New Roman" w:asciiTheme="majorEastAsia" w:hAnsiTheme="majorEastAsia" w:eastAsiaTheme="majorEastAsia"/>
          <w:b/>
          <w:color w:val="000000" w:themeColor="text1"/>
          <w:sz w:val="24"/>
          <w:szCs w:val="24"/>
          <w14:textFill>
            <w14:solidFill>
              <w14:schemeClr w14:val="tx1"/>
            </w14:solidFill>
          </w14:textFill>
        </w:rPr>
        <w:t>（一）诚信守法</w:t>
      </w:r>
      <w:bookmarkEnd w:id="19"/>
      <w:bookmarkEnd w:id="20"/>
    </w:p>
    <w:p>
      <w:pPr>
        <w:spacing w:before="100" w:after="100" w:line="360" w:lineRule="auto"/>
        <w:ind w:firstLine="600" w:firstLineChars="250"/>
        <w:rPr>
          <w:rFonts w:cs="Times New Roman" w:asciiTheme="minorEastAsia" w:hAnsiTheme="minorEastAsia"/>
          <w:sz w:val="24"/>
          <w:szCs w:val="24"/>
        </w:rPr>
      </w:pPr>
      <w:r>
        <w:rPr>
          <w:rFonts w:cs="Times New Roman" w:asciiTheme="minorEastAsia" w:hAnsiTheme="minorEastAsia"/>
          <w:sz w:val="24"/>
          <w:szCs w:val="24"/>
        </w:rPr>
        <w:t>高层领导遵循“依法经营、诚信经营”的管理理念，严格遵循《公司法》、《经济法》、《</w:t>
      </w:r>
      <w:r>
        <w:rPr>
          <w:rFonts w:hint="eastAsia" w:cs="Times New Roman" w:asciiTheme="minorEastAsia" w:hAnsiTheme="minorEastAsia"/>
          <w:sz w:val="24"/>
          <w:szCs w:val="24"/>
          <w:lang w:val="en-US" w:eastAsia="zh-CN"/>
        </w:rPr>
        <w:t>民法典</w:t>
      </w:r>
      <w:r>
        <w:rPr>
          <w:rFonts w:cs="Times New Roman" w:asciiTheme="minorEastAsia" w:hAnsiTheme="minorEastAsia"/>
          <w:sz w:val="24"/>
          <w:szCs w:val="24"/>
        </w:rPr>
        <w:t>》、《产品质量法》、《安全生产法》、《环保法》、《劳动法》以</w:t>
      </w:r>
      <w:r>
        <w:rPr>
          <w:rFonts w:cs="Times New Roman" w:asciiTheme="minorEastAsia" w:hAnsiTheme="minorEastAsia"/>
          <w:sz w:val="24"/>
          <w:szCs w:val="24"/>
          <w:highlight w:val="none"/>
        </w:rPr>
        <w:t>及</w:t>
      </w:r>
      <w:r>
        <w:rPr>
          <w:rFonts w:hint="eastAsia" w:cs="Times New Roman" w:asciiTheme="minorEastAsia" w:hAnsiTheme="minorEastAsia"/>
          <w:sz w:val="24"/>
          <w:szCs w:val="24"/>
          <w:highlight w:val="none"/>
          <w:lang w:val="en-US" w:eastAsia="zh-CN"/>
        </w:rPr>
        <w:t>数控转台</w:t>
      </w:r>
      <w:r>
        <w:rPr>
          <w:rFonts w:hint="eastAsia" w:cs="Times New Roman" w:asciiTheme="minorEastAsia" w:hAnsiTheme="minorEastAsia"/>
          <w:sz w:val="24"/>
          <w:szCs w:val="24"/>
        </w:rPr>
        <w:t>行业</w:t>
      </w:r>
      <w:r>
        <w:rPr>
          <w:rFonts w:cs="Times New Roman" w:asciiTheme="minorEastAsia" w:hAnsiTheme="minorEastAsia"/>
          <w:sz w:val="24"/>
          <w:szCs w:val="24"/>
        </w:rPr>
        <w:t>的相关法律法规，加强员工法律知识培训，配合政府部门开展普法教育活动，鼓励表彰员工的“正能量”，使诚信守法的作风深入公司全体员工的意识和行为。公司合同主动违约率为零，从不拖欠银行贷款，逾期应收账款降至合理范围，公司高层、中层领导都没有违法乱纪纪录，员工违法次数为零，在顾客、用户、公众、社会中树立了良好的信用道德形象。</w:t>
      </w:r>
    </w:p>
    <w:p>
      <w:pPr>
        <w:spacing w:before="156" w:beforeLines="50" w:after="156" w:afterLines="50" w:line="276" w:lineRule="auto"/>
        <w:outlineLvl w:val="1"/>
        <w:rPr>
          <w:rFonts w:cs="Times New Roman" w:asciiTheme="majorEastAsia" w:hAnsiTheme="majorEastAsia" w:eastAsiaTheme="majorEastAsia"/>
          <w:b/>
          <w:color w:val="000000" w:themeColor="text1"/>
          <w:sz w:val="24"/>
          <w:szCs w:val="24"/>
          <w14:textFill>
            <w14:solidFill>
              <w14:schemeClr w14:val="tx1"/>
            </w14:solidFill>
          </w14:textFill>
        </w:rPr>
      </w:pPr>
      <w:bookmarkStart w:id="21" w:name="_Toc451610990"/>
      <w:bookmarkStart w:id="22" w:name="_Toc451610897"/>
      <w:r>
        <w:rPr>
          <w:rFonts w:hint="eastAsia" w:cs="Times New Roman" w:asciiTheme="majorEastAsia" w:hAnsiTheme="majorEastAsia" w:eastAsiaTheme="majorEastAsia"/>
          <w:b/>
          <w:color w:val="000000" w:themeColor="text1"/>
          <w:sz w:val="24"/>
          <w:szCs w:val="24"/>
          <w14:textFill>
            <w14:solidFill>
              <w14:schemeClr w14:val="tx1"/>
            </w14:solidFill>
          </w14:textFill>
        </w:rPr>
        <w:t>（二）质量安全</w:t>
      </w:r>
      <w:bookmarkEnd w:id="21"/>
      <w:bookmarkEnd w:id="22"/>
    </w:p>
    <w:p>
      <w:pPr>
        <w:topLinePunct/>
        <w:spacing w:line="36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公司制定常规产品生产运行控制流程，做到每一个环节严格控制，严格把关，确保每个</w:t>
      </w:r>
      <w:r>
        <w:rPr>
          <w:rFonts w:hint="eastAsia" w:cs="Times New Roman" w:asciiTheme="minorEastAsia" w:hAnsiTheme="minorEastAsia"/>
          <w:sz w:val="24"/>
          <w:szCs w:val="24"/>
        </w:rPr>
        <w:t>产品</w:t>
      </w:r>
      <w:r>
        <w:rPr>
          <w:rFonts w:cs="Times New Roman" w:asciiTheme="minorEastAsia" w:hAnsiTheme="minorEastAsia"/>
          <w:sz w:val="24"/>
          <w:szCs w:val="24"/>
        </w:rPr>
        <w:t>的生产都符合相关要求，确保最终产品质量的合格。公司还运用三检制，即自检、抽检、质量监察小组对产品质量进行严格把控。其中自检包括产品自检和</w:t>
      </w:r>
      <w:r>
        <w:rPr>
          <w:rFonts w:hint="eastAsia" w:cs="Times New Roman" w:asciiTheme="minorEastAsia" w:hAnsiTheme="minorEastAsia"/>
          <w:sz w:val="24"/>
          <w:szCs w:val="24"/>
        </w:rPr>
        <w:t>后整理</w:t>
      </w:r>
      <w:r>
        <w:rPr>
          <w:rFonts w:cs="Times New Roman" w:asciiTheme="minorEastAsia" w:hAnsiTheme="minorEastAsia"/>
          <w:sz w:val="24"/>
          <w:szCs w:val="24"/>
        </w:rPr>
        <w:t>自检，产品自检是指员工对自己所生产出来的产品，按照</w:t>
      </w:r>
      <w:r>
        <w:rPr>
          <w:rFonts w:hint="eastAsia" w:cs="Times New Roman" w:asciiTheme="minorEastAsia" w:hAnsiTheme="minorEastAsia"/>
          <w:sz w:val="24"/>
          <w:szCs w:val="24"/>
        </w:rPr>
        <w:t>生产工艺单的</w:t>
      </w:r>
      <w:r>
        <w:rPr>
          <w:rFonts w:cs="Times New Roman" w:asciiTheme="minorEastAsia" w:hAnsiTheme="minorEastAsia"/>
          <w:sz w:val="24"/>
          <w:szCs w:val="24"/>
        </w:rPr>
        <w:t>要求自行进行检验，并作出是否合格的判定且在《自检单》上做好相关的自检记录；</w:t>
      </w:r>
      <w:r>
        <w:rPr>
          <w:rFonts w:hint="eastAsia" w:cs="Times New Roman" w:asciiTheme="minorEastAsia" w:hAnsiTheme="minorEastAsia"/>
          <w:sz w:val="24"/>
          <w:szCs w:val="24"/>
        </w:rPr>
        <w:t>后整理</w:t>
      </w:r>
      <w:r>
        <w:rPr>
          <w:rFonts w:cs="Times New Roman" w:asciiTheme="minorEastAsia" w:hAnsiTheme="minorEastAsia"/>
          <w:sz w:val="24"/>
          <w:szCs w:val="24"/>
        </w:rPr>
        <w:t>自检涵盖</w:t>
      </w:r>
      <w:r>
        <w:rPr>
          <w:rFonts w:hint="eastAsia" w:cs="Times New Roman" w:asciiTheme="minorEastAsia" w:hAnsiTheme="minorEastAsia"/>
          <w:sz w:val="24"/>
          <w:szCs w:val="24"/>
        </w:rPr>
        <w:t>产品制造</w:t>
      </w:r>
      <w:r>
        <w:rPr>
          <w:rFonts w:cs="Times New Roman" w:asciiTheme="minorEastAsia" w:hAnsiTheme="minorEastAsia"/>
          <w:sz w:val="24"/>
          <w:szCs w:val="24"/>
        </w:rPr>
        <w:t>的各个工序</w:t>
      </w:r>
      <w:r>
        <w:rPr>
          <w:rFonts w:hint="eastAsia" w:cs="Times New Roman" w:asciiTheme="minorEastAsia" w:hAnsiTheme="minorEastAsia"/>
          <w:sz w:val="24"/>
          <w:szCs w:val="24"/>
        </w:rPr>
        <w:t>。</w:t>
      </w:r>
    </w:p>
    <w:p>
      <w:pPr>
        <w:spacing w:before="156" w:beforeLines="50" w:after="156" w:afterLines="50" w:line="276" w:lineRule="auto"/>
        <w:outlineLvl w:val="1"/>
        <w:rPr>
          <w:rFonts w:cs="Times New Roman" w:asciiTheme="majorEastAsia" w:hAnsiTheme="majorEastAsia" w:eastAsiaTheme="majorEastAsia"/>
          <w:b/>
          <w:color w:val="000000" w:themeColor="text1"/>
          <w:sz w:val="24"/>
          <w:szCs w:val="24"/>
          <w14:textFill>
            <w14:solidFill>
              <w14:schemeClr w14:val="tx1"/>
            </w14:solidFill>
          </w14:textFill>
        </w:rPr>
      </w:pPr>
      <w:bookmarkStart w:id="23" w:name="_Toc451610991"/>
      <w:bookmarkStart w:id="24" w:name="_Toc451610898"/>
      <w:r>
        <w:rPr>
          <w:rFonts w:hint="eastAsia" w:cs="Times New Roman" w:asciiTheme="majorEastAsia" w:hAnsiTheme="majorEastAsia" w:eastAsiaTheme="majorEastAsia"/>
          <w:b/>
          <w:color w:val="000000" w:themeColor="text1"/>
          <w:sz w:val="24"/>
          <w:szCs w:val="24"/>
          <w14:textFill>
            <w14:solidFill>
              <w14:schemeClr w14:val="tx1"/>
            </w14:solidFill>
          </w14:textFill>
        </w:rPr>
        <w:t>（三）员工权益</w:t>
      </w:r>
      <w:bookmarkEnd w:id="23"/>
      <w:bookmarkEnd w:id="24"/>
      <w:bookmarkStart w:id="25" w:name="_Ref328491126"/>
    </w:p>
    <w:bookmarkEnd w:id="25"/>
    <w:p>
      <w:pPr>
        <w:spacing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尊重员工，</w:t>
      </w:r>
      <w:r>
        <w:rPr>
          <w:rFonts w:cs="Times New Roman" w:asciiTheme="minorEastAsia" w:hAnsiTheme="minorEastAsia"/>
          <w:kern w:val="0"/>
          <w:sz w:val="24"/>
          <w:szCs w:val="24"/>
        </w:rPr>
        <w:t>保障员工的合法权益</w:t>
      </w:r>
    </w:p>
    <w:p>
      <w:pPr>
        <w:adjustRightInd w:val="0"/>
        <w:snapToGrid w:val="0"/>
        <w:spacing w:before="156" w:beforeLines="50" w:line="360" w:lineRule="auto"/>
        <w:ind w:firstLine="480"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公司</w:t>
      </w:r>
      <w:r>
        <w:rPr>
          <w:rFonts w:cs="Times New Roman" w:asciiTheme="minorEastAsia" w:hAnsiTheme="minorEastAsia"/>
          <w:kern w:val="0"/>
          <w:sz w:val="24"/>
          <w:szCs w:val="24"/>
        </w:rPr>
        <w:t>自成立以来严格遵守《中华人民共和国劳动法》、《中华人民共和国劳动合同法》等劳动和社会保障</w:t>
      </w:r>
      <w:r>
        <w:rPr>
          <w:rFonts w:hint="eastAsia" w:cs="Times New Roman" w:asciiTheme="minorEastAsia" w:hAnsiTheme="minorEastAsia"/>
          <w:kern w:val="0"/>
          <w:sz w:val="24"/>
          <w:szCs w:val="24"/>
        </w:rPr>
        <w:t>方面</w:t>
      </w:r>
      <w:r>
        <w:rPr>
          <w:rFonts w:cs="Times New Roman" w:asciiTheme="minorEastAsia" w:hAnsiTheme="minorEastAsia"/>
          <w:kern w:val="0"/>
          <w:sz w:val="24"/>
          <w:szCs w:val="24"/>
        </w:rPr>
        <w:t>的法律、法规和规章</w:t>
      </w:r>
      <w:r>
        <w:rPr>
          <w:rFonts w:hint="eastAsia" w:asciiTheme="minorEastAsia" w:hAnsiTheme="minorEastAsia"/>
          <w:sz w:val="24"/>
          <w:szCs w:val="24"/>
        </w:rPr>
        <w:t>。</w:t>
      </w:r>
      <w:r>
        <w:rPr>
          <w:rFonts w:asciiTheme="minorEastAsia" w:hAnsiTheme="minorEastAsia"/>
          <w:sz w:val="24"/>
          <w:szCs w:val="24"/>
        </w:rPr>
        <w:t>实行劳动合同制，与</w:t>
      </w:r>
      <w:r>
        <w:rPr>
          <w:rFonts w:hint="eastAsia" w:asciiTheme="minorEastAsia" w:hAnsiTheme="minorEastAsia"/>
          <w:sz w:val="24"/>
          <w:szCs w:val="24"/>
        </w:rPr>
        <w:t>所有员工</w:t>
      </w:r>
      <w:r>
        <w:rPr>
          <w:rFonts w:asciiTheme="minorEastAsia" w:hAnsiTheme="minorEastAsia"/>
          <w:sz w:val="24"/>
          <w:szCs w:val="24"/>
        </w:rPr>
        <w:t>按照《劳动合同法》的有关规定签订了《劳动合同》，并为员工提供了社会保障计划。目前，公司已根据国家及地方的有关规定，为员工缴纳了养老保险金、工伤保险金、医疗保险金、失业保</w:t>
      </w:r>
      <w:r>
        <w:rPr>
          <w:rFonts w:hint="eastAsia" w:asciiTheme="minorEastAsia" w:hAnsiTheme="minorEastAsia"/>
          <w:sz w:val="24"/>
          <w:szCs w:val="24"/>
        </w:rPr>
        <w:t>险</w:t>
      </w:r>
      <w:r>
        <w:rPr>
          <w:rFonts w:asciiTheme="minorEastAsia" w:hAnsiTheme="minorEastAsia"/>
          <w:sz w:val="24"/>
          <w:szCs w:val="24"/>
        </w:rPr>
        <w:t>金、生育保险金。</w:t>
      </w:r>
      <w:r>
        <w:rPr>
          <w:rFonts w:hint="eastAsia" w:asciiTheme="minorEastAsia" w:hAnsiTheme="minorEastAsia"/>
          <w:sz w:val="24"/>
          <w:szCs w:val="24"/>
        </w:rPr>
        <w:t>员工可享受法定休假、婚假、丧假、产假等带薪假期。公司</w:t>
      </w:r>
      <w:r>
        <w:rPr>
          <w:rFonts w:asciiTheme="minorEastAsia" w:hAnsiTheme="minorEastAsia"/>
          <w:sz w:val="24"/>
          <w:szCs w:val="24"/>
        </w:rPr>
        <w:t>社会保险覆盖面为</w:t>
      </w:r>
      <w:r>
        <w:rPr>
          <w:rFonts w:hint="eastAsia" w:asciiTheme="minorEastAsia" w:hAnsiTheme="minorEastAsia"/>
          <w:sz w:val="24"/>
          <w:szCs w:val="24"/>
        </w:rPr>
        <w:t>100</w:t>
      </w:r>
      <w:r>
        <w:rPr>
          <w:rFonts w:asciiTheme="minorEastAsia" w:hAnsiTheme="minorEastAsia"/>
          <w:sz w:val="24"/>
          <w:szCs w:val="24"/>
        </w:rPr>
        <w:t>%，劳动合同</w:t>
      </w:r>
      <w:r>
        <w:rPr>
          <w:rFonts w:hint="eastAsia" w:asciiTheme="minorEastAsia" w:hAnsiTheme="minorEastAsia"/>
          <w:sz w:val="24"/>
          <w:szCs w:val="24"/>
        </w:rPr>
        <w:t>签订</w:t>
      </w:r>
      <w:r>
        <w:rPr>
          <w:rFonts w:asciiTheme="minorEastAsia" w:hAnsiTheme="minorEastAsia"/>
          <w:sz w:val="24"/>
          <w:szCs w:val="24"/>
        </w:rPr>
        <w:t>率为</w:t>
      </w:r>
      <w:r>
        <w:rPr>
          <w:rFonts w:hint="eastAsia" w:asciiTheme="minorEastAsia" w:hAnsiTheme="minorEastAsia"/>
          <w:sz w:val="24"/>
          <w:szCs w:val="24"/>
        </w:rPr>
        <w:t>100</w:t>
      </w:r>
      <w:r>
        <w:rPr>
          <w:rFonts w:asciiTheme="minorEastAsia" w:hAnsiTheme="minorEastAsia"/>
          <w:sz w:val="24"/>
          <w:szCs w:val="24"/>
        </w:rPr>
        <w:t>%。</w:t>
      </w:r>
      <w:r>
        <w:rPr>
          <w:rFonts w:hint="eastAsia" w:asciiTheme="minorEastAsia" w:hAnsiTheme="minorEastAsia"/>
          <w:sz w:val="24"/>
          <w:szCs w:val="24"/>
        </w:rPr>
        <w:t>同时，员工享有外出参观学习、发放过</w:t>
      </w:r>
      <w:r>
        <w:rPr>
          <w:rFonts w:hint="eastAsia" w:cs="Times New Roman" w:asciiTheme="minorEastAsia" w:hAnsiTheme="minorEastAsia"/>
          <w:kern w:val="0"/>
          <w:sz w:val="24"/>
          <w:szCs w:val="24"/>
        </w:rPr>
        <w:t>节福利、防暑降温药品等福利。公司</w:t>
      </w:r>
      <w:r>
        <w:rPr>
          <w:rFonts w:cs="Times New Roman" w:asciiTheme="minorEastAsia" w:hAnsiTheme="minorEastAsia"/>
          <w:kern w:val="0"/>
          <w:sz w:val="24"/>
          <w:szCs w:val="24"/>
        </w:rPr>
        <w:t>不断完善员工反映问题和</w:t>
      </w:r>
      <w:r>
        <w:rPr>
          <w:rFonts w:hint="eastAsia" w:cs="Times New Roman" w:asciiTheme="minorEastAsia" w:hAnsiTheme="minorEastAsia"/>
          <w:kern w:val="0"/>
          <w:sz w:val="24"/>
          <w:szCs w:val="24"/>
        </w:rPr>
        <w:t>诉求</w:t>
      </w:r>
      <w:r>
        <w:rPr>
          <w:rFonts w:cs="Times New Roman" w:asciiTheme="minorEastAsia" w:hAnsiTheme="minorEastAsia"/>
          <w:kern w:val="0"/>
          <w:sz w:val="24"/>
          <w:szCs w:val="24"/>
        </w:rPr>
        <w:t>的渠道及处理机制</w:t>
      </w:r>
      <w:r>
        <w:rPr>
          <w:rFonts w:hint="eastAsia" w:cs="Times New Roman" w:asciiTheme="minorEastAsia" w:hAnsiTheme="minorEastAsia"/>
          <w:kern w:val="0"/>
          <w:sz w:val="24"/>
          <w:szCs w:val="24"/>
        </w:rPr>
        <w:t>。员工可</w:t>
      </w:r>
      <w:r>
        <w:rPr>
          <w:rFonts w:cs="Times New Roman" w:asciiTheme="minorEastAsia" w:hAnsiTheme="minorEastAsia"/>
          <w:kern w:val="0"/>
          <w:sz w:val="24"/>
          <w:szCs w:val="24"/>
        </w:rPr>
        <w:t>通过电话、微信</w:t>
      </w:r>
      <w:r>
        <w:rPr>
          <w:rFonts w:hint="eastAsia" w:cs="Times New Roman" w:asciiTheme="minorEastAsia" w:hAnsiTheme="minorEastAsia"/>
          <w:kern w:val="0"/>
          <w:sz w:val="24"/>
          <w:szCs w:val="24"/>
        </w:rPr>
        <w:t>等</w:t>
      </w:r>
      <w:r>
        <w:rPr>
          <w:rFonts w:cs="Times New Roman" w:asciiTheme="minorEastAsia" w:hAnsiTheme="minorEastAsia"/>
          <w:kern w:val="0"/>
          <w:sz w:val="24"/>
          <w:szCs w:val="24"/>
        </w:rPr>
        <w:t>渠道，反映</w:t>
      </w:r>
      <w:r>
        <w:rPr>
          <w:rFonts w:hint="eastAsia" w:cs="Times New Roman" w:asciiTheme="minorEastAsia" w:hAnsiTheme="minorEastAsia"/>
          <w:kern w:val="0"/>
          <w:sz w:val="24"/>
          <w:szCs w:val="24"/>
        </w:rPr>
        <w:t>他们</w:t>
      </w:r>
      <w:r>
        <w:rPr>
          <w:rFonts w:cs="Times New Roman" w:asciiTheme="minorEastAsia" w:hAnsiTheme="minorEastAsia"/>
          <w:kern w:val="0"/>
          <w:sz w:val="24"/>
          <w:szCs w:val="24"/>
        </w:rPr>
        <w:t>遇到或可能发生的问题。公司</w:t>
      </w:r>
      <w:r>
        <w:rPr>
          <w:rFonts w:hint="eastAsia" w:cs="Times New Roman" w:asciiTheme="minorEastAsia" w:hAnsiTheme="minorEastAsia"/>
          <w:kern w:val="0"/>
          <w:sz w:val="24"/>
          <w:szCs w:val="24"/>
        </w:rPr>
        <w:t>高度</w:t>
      </w:r>
      <w:r>
        <w:rPr>
          <w:rFonts w:cs="Times New Roman" w:asciiTheme="minorEastAsia" w:hAnsiTheme="minorEastAsia"/>
          <w:kern w:val="0"/>
          <w:sz w:val="24"/>
          <w:szCs w:val="24"/>
        </w:rPr>
        <w:t>重视员工申述</w:t>
      </w:r>
      <w:r>
        <w:rPr>
          <w:rFonts w:hint="eastAsia" w:cs="Times New Roman" w:asciiTheme="minorEastAsia" w:hAnsiTheme="minorEastAsia"/>
          <w:kern w:val="0"/>
          <w:sz w:val="24"/>
          <w:szCs w:val="24"/>
        </w:rPr>
        <w:t>事件</w:t>
      </w:r>
      <w:r>
        <w:rPr>
          <w:rFonts w:cs="Times New Roman" w:asciiTheme="minorEastAsia" w:hAnsiTheme="minorEastAsia"/>
          <w:kern w:val="0"/>
          <w:sz w:val="24"/>
          <w:szCs w:val="24"/>
        </w:rPr>
        <w:t>，保证处理程序正当、依据明确</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结果恰当，保障了员工的合法权益。</w:t>
      </w:r>
    </w:p>
    <w:p>
      <w:pPr>
        <w:topLinePunct/>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公司还特别关注一些特殊群体的需求，如关注女性员工的工作环境、工作时间、工作强度以及长期性的职业发展、公平机会等因素；针对现在越来越多的80后、90后群体的特质给予更多的关注，为其制定职业生涯规划，明确发展通道，开展师带徒手把手指导和专项培训，给予更高工作目标，提高其业务技能和个体素质；针对家庭有困难的员工，公司通过基金会予以大力帮助和支持，董事长亲自出面联系优质医疗资源、教育资源，视员工为亲人，不断提升员工归属感。</w:t>
      </w:r>
    </w:p>
    <w:p>
      <w:pPr>
        <w:topLinePunct/>
        <w:spacing w:line="360" w:lineRule="auto"/>
        <w:ind w:firstLine="480" w:firstLineChars="200"/>
        <w:rPr>
          <w:rFonts w:cs="Times New Roman" w:asciiTheme="minorEastAsia" w:hAnsiTheme="minorEastAsia"/>
          <w:kern w:val="0"/>
          <w:sz w:val="24"/>
          <w:szCs w:val="24"/>
        </w:rPr>
      </w:pPr>
      <w:r>
        <w:rPr>
          <w:rFonts w:cs="Times New Roman" w:asciiTheme="minorEastAsia" w:hAnsiTheme="minorEastAsia"/>
          <w:kern w:val="0"/>
          <w:sz w:val="24"/>
          <w:szCs w:val="24"/>
        </w:rPr>
        <w:t>公司通过各种方式，如国庆、</w:t>
      </w:r>
      <w:r>
        <w:rPr>
          <w:rFonts w:hint="eastAsia" w:cs="Times New Roman" w:asciiTheme="minorEastAsia" w:hAnsiTheme="minorEastAsia"/>
          <w:kern w:val="0"/>
          <w:sz w:val="24"/>
          <w:szCs w:val="24"/>
        </w:rPr>
        <w:t>五一</w:t>
      </w:r>
      <w:r>
        <w:rPr>
          <w:rFonts w:cs="Times New Roman" w:asciiTheme="minorEastAsia" w:hAnsiTheme="minorEastAsia"/>
          <w:kern w:val="0"/>
          <w:sz w:val="24"/>
          <w:szCs w:val="24"/>
        </w:rPr>
        <w:t>文体活动等，丰富员工的工作和业余生活，构造和谐工作环境，激发员工爱心、积极性和创造性，促进公司和谐发展。</w:t>
      </w:r>
    </w:p>
    <w:p>
      <w:pPr>
        <w:topLinePunct/>
        <w:spacing w:line="360" w:lineRule="auto"/>
        <w:ind w:firstLine="480" w:firstLineChars="200"/>
        <w:rPr>
          <w:rFonts w:ascii="宋体" w:hAnsi="宋体" w:eastAsia="宋体" w:cs="Helvetica"/>
          <w:b/>
          <w:bCs/>
          <w:color w:val="000000" w:themeColor="text1"/>
          <w:kern w:val="0"/>
          <w:sz w:val="24"/>
          <w:szCs w:val="24"/>
          <w:lang w:val="en"/>
          <w14:textFill>
            <w14:solidFill>
              <w14:schemeClr w14:val="tx1"/>
            </w14:solidFill>
          </w14:textFill>
        </w:rPr>
      </w:pPr>
      <w:r>
        <w:rPr>
          <w:rFonts w:cs="Times New Roman" w:asciiTheme="minorEastAsia" w:hAnsiTheme="minorEastAsia"/>
          <w:color w:val="000000"/>
          <w:sz w:val="24"/>
          <w:szCs w:val="24"/>
        </w:rPr>
        <w:t>公司高层领导通过短信/微信平台、合理化建议、员工满意度调查、员工座谈会、下基层参加部门例会、娱乐活动、午餐会等形式，调查、了解员工意见和建议，获取员工满意度信息。明确的问题由行政部负责跟踪督办，要求各相关职能部门在规定时间内进行处理。高层领导注重现场了解情况并在承诺时间内及时做出积极的反馈和处理。</w:t>
      </w:r>
      <w:bookmarkStart w:id="26" w:name="_Toc451610900"/>
      <w:bookmarkStart w:id="27" w:name="_Toc451610993"/>
    </w:p>
    <w:bookmarkEnd w:id="26"/>
    <w:bookmarkEnd w:id="27"/>
    <w:p>
      <w:pPr>
        <w:spacing w:before="156" w:beforeLines="50" w:after="156" w:afterLines="50" w:line="276" w:lineRule="auto"/>
        <w:outlineLvl w:val="0"/>
        <w:rPr>
          <w:rFonts w:cs="Times New Roman" w:asciiTheme="majorEastAsia" w:hAnsiTheme="majorEastAsia" w:eastAsiaTheme="majorEastAsia"/>
          <w:b/>
          <w:color w:val="000000" w:themeColor="text1"/>
          <w:sz w:val="28"/>
          <w:szCs w:val="24"/>
          <w14:textFill>
            <w14:solidFill>
              <w14:schemeClr w14:val="tx1"/>
            </w14:solidFill>
          </w14:textFill>
        </w:rPr>
      </w:pPr>
      <w:r>
        <w:rPr>
          <w:rFonts w:hint="eastAsia" w:cs="Times New Roman" w:asciiTheme="majorEastAsia" w:hAnsiTheme="majorEastAsia" w:eastAsiaTheme="majorEastAsia"/>
          <w:b/>
          <w:color w:val="000000" w:themeColor="text1"/>
          <w:sz w:val="28"/>
          <w:szCs w:val="24"/>
          <w14:textFill>
            <w14:solidFill>
              <w14:schemeClr w14:val="tx1"/>
            </w14:solidFill>
          </w14:textFill>
        </w:rPr>
        <w:t>五、环境责任</w:t>
      </w:r>
    </w:p>
    <w:p>
      <w:pPr>
        <w:spacing w:line="360" w:lineRule="auto"/>
        <w:ind w:firstLine="480" w:firstLineChars="200"/>
        <w:rPr>
          <w:rFonts w:ascii="宋体" w:hAnsi="宋体" w:eastAsia="宋体" w:cs="Times New Roman"/>
          <w:kern w:val="0"/>
          <w:sz w:val="24"/>
          <w:szCs w:val="24"/>
          <w:lang w:val="zh-CN"/>
        </w:rPr>
      </w:pPr>
      <w:r>
        <w:rPr>
          <w:rFonts w:cs="Times New Roman" w:asciiTheme="minorEastAsia" w:hAnsiTheme="minorEastAsia"/>
          <w:kern w:val="0"/>
          <w:sz w:val="24"/>
          <w:szCs w:val="24"/>
          <w:lang w:val="zh-CN"/>
        </w:rPr>
        <w:t>公司坚持“</w:t>
      </w:r>
      <w:r>
        <w:rPr>
          <w:rFonts w:hint="eastAsia" w:cs="Times New Roman" w:asciiTheme="minorEastAsia" w:hAnsiTheme="minorEastAsia"/>
          <w:kern w:val="0"/>
          <w:sz w:val="24"/>
          <w:szCs w:val="24"/>
          <w:highlight w:val="none"/>
          <w:lang w:val="zh-CN"/>
        </w:rPr>
        <w:t>安全第一，预防为主，综合治理</w:t>
      </w:r>
      <w:r>
        <w:rPr>
          <w:rFonts w:cs="Times New Roman" w:asciiTheme="minorEastAsia" w:hAnsiTheme="minorEastAsia"/>
          <w:kern w:val="0"/>
          <w:sz w:val="24"/>
          <w:szCs w:val="24"/>
          <w:highlight w:val="none"/>
          <w:lang w:val="zh-CN"/>
        </w:rPr>
        <w:t>”</w:t>
      </w:r>
      <w:r>
        <w:rPr>
          <w:rFonts w:cs="Times New Roman" w:asciiTheme="minorEastAsia" w:hAnsiTheme="minorEastAsia"/>
          <w:kern w:val="0"/>
          <w:sz w:val="24"/>
          <w:szCs w:val="24"/>
          <w:lang w:val="zh-CN"/>
        </w:rPr>
        <w:t>的环保方针，通过不断改进技术与工艺</w:t>
      </w:r>
      <w:r>
        <w:rPr>
          <w:rFonts w:hint="eastAsia" w:cs="Times New Roman" w:asciiTheme="minorEastAsia" w:hAnsiTheme="minorEastAsia"/>
          <w:kern w:val="0"/>
          <w:sz w:val="24"/>
          <w:szCs w:val="24"/>
          <w:lang w:val="zh-CN"/>
        </w:rPr>
        <w:t>,更换零部件</w:t>
      </w:r>
      <w:r>
        <w:rPr>
          <w:rFonts w:cs="Times New Roman" w:asciiTheme="minorEastAsia" w:hAnsiTheme="minorEastAsia"/>
          <w:kern w:val="0"/>
          <w:sz w:val="24"/>
          <w:szCs w:val="24"/>
          <w:lang w:val="zh-CN"/>
        </w:rPr>
        <w:t>，强化管理，减少各种废弃物的产生，保证各种污染物达标排放；通过节能降耗，不断提升能源、资源的使用效率；通过加强环保方面的培训，确保每一位员工认知日常工作生活行为对环境的影响</w:t>
      </w:r>
      <w:r>
        <w:rPr>
          <w:rFonts w:ascii="宋体" w:hAnsi="宋体" w:eastAsia="宋体" w:cs="Times New Roman"/>
          <w:kern w:val="0"/>
          <w:sz w:val="24"/>
          <w:szCs w:val="24"/>
          <w:lang w:val="zh-CN"/>
        </w:rPr>
        <w:t>。</w:t>
      </w:r>
    </w:p>
    <w:p>
      <w:pPr>
        <w:spacing w:before="156" w:beforeLines="50" w:after="156" w:afterLines="50" w:line="276" w:lineRule="auto"/>
        <w:outlineLvl w:val="1"/>
        <w:rPr>
          <w:rFonts w:ascii="宋体" w:hAnsi="宋体" w:eastAsia="宋体" w:cs="Times New Roman"/>
          <w:b/>
          <w:sz w:val="24"/>
          <w:szCs w:val="24"/>
        </w:rPr>
      </w:pPr>
      <w:bookmarkStart w:id="28" w:name="_Toc451610995"/>
      <w:bookmarkStart w:id="29" w:name="_Toc451610902"/>
      <w:r>
        <w:rPr>
          <w:rFonts w:hint="eastAsia" w:ascii="宋体" w:hAnsi="宋体" w:eastAsia="宋体" w:cs="Times New Roman"/>
          <w:b/>
          <w:sz w:val="24"/>
          <w:szCs w:val="24"/>
        </w:rPr>
        <w:t>（一）环境保护</w:t>
      </w:r>
      <w:bookmarkEnd w:id="28"/>
      <w:bookmarkEnd w:id="29"/>
    </w:p>
    <w:p>
      <w:pPr>
        <w:spacing w:line="360" w:lineRule="auto"/>
        <w:ind w:firstLine="480" w:firstLineChars="200"/>
        <w:rPr>
          <w:rFonts w:cs="Times New Roman" w:asciiTheme="minorEastAsia" w:hAnsiTheme="minorEastAsia"/>
          <w:kern w:val="0"/>
          <w:sz w:val="24"/>
          <w:szCs w:val="24"/>
          <w:lang w:val="zh-CN"/>
        </w:rPr>
      </w:pPr>
      <w:r>
        <w:rPr>
          <w:rFonts w:cs="Times New Roman" w:asciiTheme="minorEastAsia" w:hAnsiTheme="minorEastAsia"/>
          <w:kern w:val="0"/>
          <w:sz w:val="24"/>
          <w:szCs w:val="24"/>
          <w:lang w:val="zh-CN"/>
        </w:rPr>
        <w:t>公司产品及生产、运营过程对环境污染、社会风险不良影响较小，但公司仍非常重视环境影响控制，严格贯彻国家相关法律法规，颁布并实施了《</w:t>
      </w:r>
      <w:r>
        <w:rPr>
          <w:rFonts w:hint="eastAsia" w:cs="Times New Roman" w:asciiTheme="minorEastAsia" w:hAnsiTheme="minorEastAsia"/>
          <w:kern w:val="0"/>
          <w:sz w:val="24"/>
          <w:szCs w:val="24"/>
          <w:lang w:val="zh-CN"/>
        </w:rPr>
        <w:t>环境因素识别与评价控制程序</w:t>
      </w:r>
      <w:r>
        <w:rPr>
          <w:rFonts w:cs="Times New Roman" w:asciiTheme="minorEastAsia" w:hAnsiTheme="minorEastAsia"/>
          <w:kern w:val="0"/>
          <w:sz w:val="24"/>
          <w:szCs w:val="24"/>
          <w:lang w:val="zh-CN"/>
        </w:rPr>
        <w:t>》</w:t>
      </w:r>
      <w:r>
        <w:rPr>
          <w:rFonts w:hint="eastAsia" w:cs="Times New Roman" w:asciiTheme="minorEastAsia" w:hAnsiTheme="minorEastAsia"/>
          <w:kern w:val="0"/>
          <w:sz w:val="24"/>
          <w:szCs w:val="24"/>
          <w:lang w:val="zh-CN"/>
        </w:rPr>
        <w:t>、《环境、职业健康安全运行控制》</w:t>
      </w:r>
      <w:r>
        <w:rPr>
          <w:rFonts w:cs="Times New Roman" w:asciiTheme="minorEastAsia" w:hAnsiTheme="minorEastAsia"/>
          <w:kern w:val="0"/>
          <w:sz w:val="24"/>
          <w:szCs w:val="24"/>
          <w:lang w:val="zh-CN"/>
        </w:rPr>
        <w:t>等制度和管理办法</w:t>
      </w:r>
      <w:r>
        <w:rPr>
          <w:rFonts w:hint="eastAsia" w:cs="Times New Roman" w:asciiTheme="minorEastAsia" w:hAnsiTheme="minorEastAsia"/>
          <w:kern w:val="0"/>
          <w:sz w:val="24"/>
          <w:szCs w:val="24"/>
          <w:lang w:val="zh-CN"/>
        </w:rPr>
        <w:t>。</w:t>
      </w:r>
    </w:p>
    <w:p>
      <w:pPr>
        <w:pStyle w:val="86"/>
        <w:ind w:firstLine="480"/>
        <w:rPr>
          <w:rFonts w:asciiTheme="minorEastAsia" w:hAnsiTheme="minorEastAsia" w:eastAsiaTheme="minorEastAsia"/>
          <w:bCs w:val="0"/>
          <w:kern w:val="0"/>
          <w:lang w:val="zh-CN"/>
        </w:rPr>
      </w:pPr>
      <w:r>
        <w:rPr>
          <w:rFonts w:hint="eastAsia" w:asciiTheme="minorEastAsia" w:hAnsiTheme="minorEastAsia" w:eastAsiaTheme="minorEastAsia"/>
          <w:bCs w:val="0"/>
          <w:kern w:val="0"/>
          <w:lang w:val="zh-CN"/>
        </w:rPr>
        <w:t>三年来，无环境污染事故，各污染源稳定达标排放，各类环境治理设施运转正常，公司产品的生产过程中不存在重污染的情况，对于生产过程中的废水、废气、固体废弃物和噪音问题，公司已采取了适当的环保措施，对周边环境的影响很小。</w:t>
      </w:r>
    </w:p>
    <w:p>
      <w:pPr>
        <w:spacing w:before="156" w:beforeLines="50" w:after="156" w:afterLines="50" w:line="276" w:lineRule="auto"/>
        <w:outlineLvl w:val="1"/>
        <w:rPr>
          <w:rFonts w:ascii="宋体" w:hAnsi="宋体" w:eastAsia="宋体" w:cs="Times New Roman"/>
          <w:b/>
          <w:sz w:val="24"/>
          <w:szCs w:val="24"/>
        </w:rPr>
      </w:pPr>
      <w:r>
        <w:rPr>
          <w:rFonts w:hint="eastAsia" w:ascii="宋体" w:hAnsi="宋体" w:eastAsia="宋体" w:cs="Times New Roman"/>
          <w:b/>
          <w:sz w:val="24"/>
          <w:szCs w:val="24"/>
        </w:rPr>
        <w:t>（二）道德行为：</w:t>
      </w:r>
    </w:p>
    <w:p>
      <w:pPr>
        <w:pStyle w:val="86"/>
        <w:ind w:firstLine="480"/>
        <w:rPr>
          <w:rFonts w:asciiTheme="minorEastAsia" w:hAnsiTheme="minorEastAsia" w:eastAsiaTheme="minorEastAsia"/>
          <w:bCs w:val="0"/>
          <w:kern w:val="0"/>
          <w:lang w:val="zh-CN"/>
        </w:rPr>
      </w:pPr>
      <w:r>
        <w:rPr>
          <w:rFonts w:hint="eastAsia" w:asciiTheme="minorEastAsia" w:hAnsiTheme="minorEastAsia" w:eastAsiaTheme="minorEastAsia"/>
          <w:bCs w:val="0"/>
          <w:kern w:val="0"/>
          <w:lang w:val="zh-CN"/>
        </w:rPr>
        <w:t>公司在生产经营活动中诚实、守信，获得顾客、供应商、质监、工商、税务等方面的广泛好评。</w:t>
      </w:r>
    </w:p>
    <w:p>
      <w:pPr>
        <w:spacing w:before="156" w:beforeLines="50" w:after="156" w:afterLines="50" w:line="276" w:lineRule="auto"/>
        <w:outlineLvl w:val="1"/>
        <w:rPr>
          <w:rFonts w:ascii="宋体" w:hAnsi="宋体" w:eastAsia="宋体" w:cs="Times New Roman"/>
          <w:b/>
          <w:sz w:val="24"/>
          <w:szCs w:val="24"/>
        </w:rPr>
      </w:pPr>
      <w:r>
        <w:rPr>
          <w:rFonts w:hint="eastAsia" w:ascii="宋体" w:hAnsi="宋体" w:eastAsia="宋体" w:cs="Times New Roman"/>
          <w:b/>
          <w:sz w:val="24"/>
          <w:szCs w:val="24"/>
        </w:rPr>
        <w:t>（三）公益支持：</w:t>
      </w:r>
    </w:p>
    <w:p>
      <w:pPr>
        <w:pStyle w:val="86"/>
        <w:ind w:firstLine="480"/>
        <w:rPr>
          <w:rFonts w:asciiTheme="minorEastAsia" w:hAnsiTheme="minorEastAsia" w:eastAsiaTheme="minorEastAsia"/>
          <w:bCs w:val="0"/>
          <w:color w:val="FF0000"/>
          <w:kern w:val="0"/>
          <w:lang w:val="zh-CN"/>
        </w:rPr>
      </w:pPr>
      <w:r>
        <w:rPr>
          <w:rFonts w:hint="eastAsia" w:asciiTheme="minorEastAsia" w:hAnsiTheme="minorEastAsia" w:eastAsiaTheme="minorEastAsia"/>
          <w:bCs w:val="0"/>
          <w:kern w:val="0"/>
          <w:lang w:val="zh-CN"/>
        </w:rPr>
        <w:t>公司高层领导认为公司的发展和财富的积累来源于社会，企业取得的每一项进步和成效都得益于各级领导的呵护和关心，都离不开社会各界的厚爱和支持。遵循公司“奉献”的价值观以及公司使命，公司坚持回馈社会，认真履行企业的社会责任。公司在注重企业经营的同时，不忘社会责任，积极组织参加各类公益慈善活动。与市、区慈善总会共建慈善基金。</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464"/>
        <w:gridCol w:w="3144"/>
        <w:gridCol w:w="3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50" w:type="pct"/>
            <w:vAlign w:val="center"/>
          </w:tcPr>
          <w:p>
            <w:pPr>
              <w:jc w:val="center"/>
              <w:rPr>
                <w:b/>
                <w:sz w:val="26"/>
                <w:szCs w:val="26"/>
              </w:rPr>
            </w:pPr>
            <w:r>
              <w:rPr>
                <w:rFonts w:hint="eastAsia"/>
                <w:b/>
                <w:sz w:val="26"/>
                <w:szCs w:val="26"/>
              </w:rPr>
              <w:t>序号</w:t>
            </w:r>
          </w:p>
        </w:tc>
        <w:tc>
          <w:tcPr>
            <w:tcW w:w="859" w:type="pct"/>
            <w:vAlign w:val="center"/>
          </w:tcPr>
          <w:p>
            <w:pPr>
              <w:jc w:val="center"/>
              <w:rPr>
                <w:rFonts w:ascii="宋体" w:hAnsi="宋体"/>
                <w:b/>
                <w:sz w:val="26"/>
                <w:szCs w:val="26"/>
              </w:rPr>
            </w:pPr>
            <w:r>
              <w:rPr>
                <w:rFonts w:hint="eastAsia" w:ascii="宋体" w:hAnsi="宋体"/>
                <w:b/>
                <w:sz w:val="26"/>
                <w:szCs w:val="26"/>
              </w:rPr>
              <w:t>年度</w:t>
            </w:r>
          </w:p>
        </w:tc>
        <w:tc>
          <w:tcPr>
            <w:tcW w:w="1845" w:type="pct"/>
          </w:tcPr>
          <w:p>
            <w:pPr>
              <w:jc w:val="center"/>
              <w:rPr>
                <w:rFonts w:hint="eastAsia" w:ascii="宋体" w:hAnsi="宋体" w:eastAsia="宋体"/>
                <w:b/>
                <w:sz w:val="26"/>
                <w:szCs w:val="26"/>
                <w:lang w:val="en-US" w:eastAsia="zh-CN"/>
              </w:rPr>
            </w:pPr>
            <w:r>
              <w:rPr>
                <w:rFonts w:hint="eastAsia" w:ascii="宋体" w:hAnsi="宋体"/>
                <w:b/>
                <w:sz w:val="26"/>
                <w:szCs w:val="26"/>
                <w:lang w:val="en-US" w:eastAsia="zh-CN"/>
              </w:rPr>
              <w:t>项目</w:t>
            </w:r>
          </w:p>
        </w:tc>
        <w:tc>
          <w:tcPr>
            <w:tcW w:w="1845" w:type="pct"/>
          </w:tcPr>
          <w:p>
            <w:pPr>
              <w:jc w:val="center"/>
              <w:rPr>
                <w:rFonts w:ascii="宋体" w:hAnsi="宋体"/>
                <w:b/>
                <w:sz w:val="26"/>
                <w:szCs w:val="26"/>
              </w:rPr>
            </w:pPr>
            <w:r>
              <w:rPr>
                <w:rFonts w:hint="eastAsia" w:ascii="宋体" w:hAnsi="宋体"/>
                <w:b/>
                <w:sz w:val="26"/>
                <w:szCs w:val="26"/>
              </w:rPr>
              <w:t>慈善捐助费用（万元）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0" w:type="pct"/>
            <w:vAlign w:val="center"/>
          </w:tcPr>
          <w:p>
            <w:pPr>
              <w:jc w:val="center"/>
            </w:pPr>
            <w:r>
              <w:rPr>
                <w:sz w:val="24"/>
                <w:szCs w:val="24"/>
              </w:rPr>
              <w:t>1</w:t>
            </w:r>
          </w:p>
        </w:tc>
        <w:tc>
          <w:tcPr>
            <w:tcW w:w="859" w:type="pct"/>
            <w:vAlign w:val="center"/>
          </w:tcPr>
          <w:p>
            <w:pPr>
              <w:jc w:val="center"/>
            </w:pPr>
            <w:r>
              <w:rPr>
                <w:sz w:val="24"/>
                <w:szCs w:val="24"/>
              </w:rPr>
              <w:t>2020</w:t>
            </w:r>
          </w:p>
        </w:tc>
        <w:tc>
          <w:tcPr>
            <w:tcW w:w="1845" w:type="pct"/>
          </w:tcPr>
          <w:p>
            <w:pPr>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玉环市慈善基金</w:t>
            </w:r>
          </w:p>
        </w:tc>
        <w:tc>
          <w:tcPr>
            <w:tcW w:w="1845" w:type="pct"/>
          </w:tcPr>
          <w:p>
            <w:pPr>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0" w:type="pct"/>
            <w:vAlign w:val="center"/>
          </w:tcPr>
          <w:p>
            <w:pPr>
              <w:jc w:val="center"/>
            </w:pPr>
            <w:r>
              <w:rPr>
                <w:sz w:val="24"/>
                <w:szCs w:val="24"/>
              </w:rPr>
              <w:t>2</w:t>
            </w:r>
          </w:p>
        </w:tc>
        <w:tc>
          <w:tcPr>
            <w:tcW w:w="859" w:type="pct"/>
            <w:vAlign w:val="center"/>
          </w:tcPr>
          <w:p>
            <w:pPr>
              <w:jc w:val="center"/>
            </w:pPr>
            <w:r>
              <w:rPr>
                <w:rFonts w:ascii="Times New Roman" w:hAnsi="Times New Roman"/>
                <w:sz w:val="24"/>
                <w:szCs w:val="24"/>
              </w:rPr>
              <w:t>2021</w:t>
            </w:r>
          </w:p>
        </w:tc>
        <w:tc>
          <w:tcPr>
            <w:tcW w:w="1845" w:type="pct"/>
          </w:tcPr>
          <w:p>
            <w:pPr>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玉环市慈善基金</w:t>
            </w:r>
          </w:p>
        </w:tc>
        <w:tc>
          <w:tcPr>
            <w:tcW w:w="1845" w:type="pct"/>
          </w:tcPr>
          <w:p>
            <w:pPr>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0" w:type="pct"/>
            <w:vAlign w:val="center"/>
          </w:tcPr>
          <w:p>
            <w:pPr>
              <w:jc w:val="center"/>
              <w:rPr>
                <w:sz w:val="24"/>
                <w:szCs w:val="24"/>
              </w:rPr>
            </w:pPr>
            <w:r>
              <w:rPr>
                <w:sz w:val="24"/>
                <w:szCs w:val="24"/>
              </w:rPr>
              <w:t>3</w:t>
            </w:r>
          </w:p>
        </w:tc>
        <w:tc>
          <w:tcPr>
            <w:tcW w:w="859" w:type="pct"/>
            <w:vAlign w:val="center"/>
          </w:tcPr>
          <w:p>
            <w:pPr>
              <w:jc w:val="center"/>
              <w:rPr>
                <w:sz w:val="24"/>
                <w:szCs w:val="24"/>
              </w:rPr>
            </w:pPr>
            <w:r>
              <w:rPr>
                <w:rFonts w:hint="eastAsia" w:ascii="Times New Roman" w:hAnsi="Times New Roman"/>
                <w:sz w:val="24"/>
                <w:szCs w:val="24"/>
              </w:rPr>
              <w:t>2</w:t>
            </w:r>
            <w:r>
              <w:rPr>
                <w:rFonts w:ascii="Times New Roman" w:hAnsi="Times New Roman"/>
                <w:sz w:val="24"/>
                <w:szCs w:val="24"/>
              </w:rPr>
              <w:t>022</w:t>
            </w:r>
          </w:p>
        </w:tc>
        <w:tc>
          <w:tcPr>
            <w:tcW w:w="1845" w:type="pct"/>
          </w:tcPr>
          <w:p>
            <w:pPr>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玉环市慈善基金</w:t>
            </w:r>
          </w:p>
        </w:tc>
        <w:tc>
          <w:tcPr>
            <w:tcW w:w="1845" w:type="pct"/>
          </w:tcPr>
          <w:p>
            <w:pPr>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0" w:type="pct"/>
            <w:vAlign w:val="center"/>
          </w:tcPr>
          <w:p>
            <w:pPr>
              <w:jc w:val="center"/>
              <w:rPr>
                <w:sz w:val="24"/>
                <w:szCs w:val="24"/>
              </w:rPr>
            </w:pPr>
            <w:r>
              <w:rPr>
                <w:rFonts w:hint="eastAsia"/>
                <w:sz w:val="24"/>
                <w:szCs w:val="24"/>
              </w:rPr>
              <w:t>4</w:t>
            </w:r>
          </w:p>
        </w:tc>
        <w:tc>
          <w:tcPr>
            <w:tcW w:w="859" w:type="pct"/>
            <w:vAlign w:val="center"/>
          </w:tcPr>
          <w:p>
            <w:pPr>
              <w:jc w:val="center"/>
              <w:rPr>
                <w:sz w:val="24"/>
                <w:szCs w:val="24"/>
              </w:rPr>
            </w:pPr>
            <w:r>
              <w:rPr>
                <w:rFonts w:hint="eastAsia" w:ascii="Times New Roman" w:hAnsi="Times New Roman"/>
                <w:sz w:val="24"/>
                <w:szCs w:val="24"/>
              </w:rPr>
              <w:t>2</w:t>
            </w:r>
            <w:r>
              <w:rPr>
                <w:rFonts w:ascii="Times New Roman" w:hAnsi="Times New Roman"/>
                <w:sz w:val="24"/>
                <w:szCs w:val="24"/>
              </w:rPr>
              <w:t>023</w:t>
            </w:r>
          </w:p>
        </w:tc>
        <w:tc>
          <w:tcPr>
            <w:tcW w:w="1845" w:type="pct"/>
          </w:tcPr>
          <w:p>
            <w:pPr>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玉环市慈善基金</w:t>
            </w:r>
          </w:p>
        </w:tc>
        <w:tc>
          <w:tcPr>
            <w:tcW w:w="1845" w:type="pct"/>
          </w:tcPr>
          <w:p>
            <w:pPr>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4" w:type="pct"/>
            <w:gridSpan w:val="3"/>
            <w:vAlign w:val="center"/>
          </w:tcPr>
          <w:p>
            <w:pPr>
              <w:jc w:val="center"/>
              <w:rPr>
                <w:rFonts w:hint="eastAsia" w:ascii="Times New Roman" w:hAnsi="Times New Roman" w:cs="Times New Roman"/>
                <w:sz w:val="24"/>
                <w:szCs w:val="24"/>
                <w:lang w:val="en-US" w:eastAsia="zh-CN"/>
              </w:rPr>
            </w:pPr>
            <w:r>
              <w:rPr>
                <w:sz w:val="24"/>
                <w:szCs w:val="24"/>
              </w:rPr>
              <w:t>合计</w:t>
            </w:r>
          </w:p>
        </w:tc>
        <w:tc>
          <w:tcPr>
            <w:tcW w:w="1845" w:type="pct"/>
          </w:tcPr>
          <w:p>
            <w:pPr>
              <w:jc w:val="center"/>
              <w:rPr>
                <w:rFonts w:hint="default" w:ascii="宋体" w:hAnsi="宋体" w:eastAsia="宋体"/>
                <w:lang w:val="en-US" w:eastAsia="zh-CN"/>
              </w:rPr>
            </w:pPr>
            <w:r>
              <w:rPr>
                <w:rFonts w:hint="eastAsia" w:ascii="Times New Roman" w:hAnsi="Times New Roman" w:cs="Times New Roman"/>
                <w:sz w:val="24"/>
                <w:szCs w:val="24"/>
                <w:lang w:val="en-US" w:eastAsia="zh-CN"/>
              </w:rPr>
              <w:t>60.5</w:t>
            </w:r>
          </w:p>
        </w:tc>
      </w:tr>
    </w:tbl>
    <w:p>
      <w:pPr>
        <w:spacing w:line="360" w:lineRule="auto"/>
        <w:ind w:firstLine="480" w:firstLineChars="200"/>
        <w:rPr>
          <w:rFonts w:cs="Times New Roman" w:asciiTheme="minorEastAsia" w:hAnsiTheme="minorEastAsia"/>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Helvetica-Narrow">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00DDC"/>
    <w:multiLevelType w:val="multilevel"/>
    <w:tmpl w:val="04600DD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YWRiNzhjZGRiM2YwNTRmMjUyMDUzZWZhMThlZWEifQ=="/>
  </w:docVars>
  <w:rsids>
    <w:rsidRoot w:val="00CD5536"/>
    <w:rsid w:val="000001E5"/>
    <w:rsid w:val="00004397"/>
    <w:rsid w:val="00036A7A"/>
    <w:rsid w:val="000437A1"/>
    <w:rsid w:val="000519DC"/>
    <w:rsid w:val="00061BED"/>
    <w:rsid w:val="00066D0C"/>
    <w:rsid w:val="00074BC1"/>
    <w:rsid w:val="00093D9A"/>
    <w:rsid w:val="000A795F"/>
    <w:rsid w:val="000B28B4"/>
    <w:rsid w:val="000C3B69"/>
    <w:rsid w:val="000F2948"/>
    <w:rsid w:val="001019A7"/>
    <w:rsid w:val="00116ECF"/>
    <w:rsid w:val="00131595"/>
    <w:rsid w:val="00131935"/>
    <w:rsid w:val="001420F3"/>
    <w:rsid w:val="00160BF9"/>
    <w:rsid w:val="00165DCC"/>
    <w:rsid w:val="00175458"/>
    <w:rsid w:val="00186145"/>
    <w:rsid w:val="00192A5B"/>
    <w:rsid w:val="001A32F1"/>
    <w:rsid w:val="001B02FB"/>
    <w:rsid w:val="001B196B"/>
    <w:rsid w:val="001B327D"/>
    <w:rsid w:val="001F2219"/>
    <w:rsid w:val="001F317C"/>
    <w:rsid w:val="0020185A"/>
    <w:rsid w:val="00205BD5"/>
    <w:rsid w:val="00213334"/>
    <w:rsid w:val="00225468"/>
    <w:rsid w:val="00233AAC"/>
    <w:rsid w:val="00234E6C"/>
    <w:rsid w:val="00241399"/>
    <w:rsid w:val="0024604C"/>
    <w:rsid w:val="0026728E"/>
    <w:rsid w:val="00271BCA"/>
    <w:rsid w:val="002827AB"/>
    <w:rsid w:val="002B6B4E"/>
    <w:rsid w:val="002B7810"/>
    <w:rsid w:val="002E6A2A"/>
    <w:rsid w:val="003206A1"/>
    <w:rsid w:val="003209F3"/>
    <w:rsid w:val="0032148A"/>
    <w:rsid w:val="00330422"/>
    <w:rsid w:val="00332A23"/>
    <w:rsid w:val="00351384"/>
    <w:rsid w:val="003573D2"/>
    <w:rsid w:val="00372A7B"/>
    <w:rsid w:val="00377118"/>
    <w:rsid w:val="00385FB5"/>
    <w:rsid w:val="00386BDB"/>
    <w:rsid w:val="00390B1F"/>
    <w:rsid w:val="00397853"/>
    <w:rsid w:val="003A71A7"/>
    <w:rsid w:val="003C2E66"/>
    <w:rsid w:val="003C2FB7"/>
    <w:rsid w:val="003C7121"/>
    <w:rsid w:val="003D1D51"/>
    <w:rsid w:val="003F0C1A"/>
    <w:rsid w:val="003F5A4E"/>
    <w:rsid w:val="004313BF"/>
    <w:rsid w:val="004432F6"/>
    <w:rsid w:val="00463CC3"/>
    <w:rsid w:val="0046415E"/>
    <w:rsid w:val="00470384"/>
    <w:rsid w:val="004839EA"/>
    <w:rsid w:val="00485095"/>
    <w:rsid w:val="004978CF"/>
    <w:rsid w:val="00497E69"/>
    <w:rsid w:val="004A06E6"/>
    <w:rsid w:val="004A2F45"/>
    <w:rsid w:val="004A33D9"/>
    <w:rsid w:val="004A48E7"/>
    <w:rsid w:val="004B21B4"/>
    <w:rsid w:val="00500BC0"/>
    <w:rsid w:val="00513B35"/>
    <w:rsid w:val="005177C0"/>
    <w:rsid w:val="00520B5A"/>
    <w:rsid w:val="00522730"/>
    <w:rsid w:val="00554B93"/>
    <w:rsid w:val="00555AC2"/>
    <w:rsid w:val="005731F9"/>
    <w:rsid w:val="005A5A6F"/>
    <w:rsid w:val="005C7BEC"/>
    <w:rsid w:val="005E4FF8"/>
    <w:rsid w:val="005E6966"/>
    <w:rsid w:val="00603844"/>
    <w:rsid w:val="00607872"/>
    <w:rsid w:val="00634892"/>
    <w:rsid w:val="00637B07"/>
    <w:rsid w:val="00662C24"/>
    <w:rsid w:val="006644E1"/>
    <w:rsid w:val="00667FBF"/>
    <w:rsid w:val="00671E41"/>
    <w:rsid w:val="0067240D"/>
    <w:rsid w:val="00686622"/>
    <w:rsid w:val="00693DCA"/>
    <w:rsid w:val="00695157"/>
    <w:rsid w:val="006976A4"/>
    <w:rsid w:val="006C19F4"/>
    <w:rsid w:val="006D6DA2"/>
    <w:rsid w:val="006F0218"/>
    <w:rsid w:val="006F6F50"/>
    <w:rsid w:val="00703B80"/>
    <w:rsid w:val="00714A72"/>
    <w:rsid w:val="00714C31"/>
    <w:rsid w:val="00716577"/>
    <w:rsid w:val="00726209"/>
    <w:rsid w:val="00730453"/>
    <w:rsid w:val="00730A7E"/>
    <w:rsid w:val="00736DA1"/>
    <w:rsid w:val="0074218E"/>
    <w:rsid w:val="00767175"/>
    <w:rsid w:val="00773139"/>
    <w:rsid w:val="0078520C"/>
    <w:rsid w:val="00793FD8"/>
    <w:rsid w:val="007941C9"/>
    <w:rsid w:val="007949D8"/>
    <w:rsid w:val="007B023F"/>
    <w:rsid w:val="007B1A38"/>
    <w:rsid w:val="007C2C6E"/>
    <w:rsid w:val="007D3629"/>
    <w:rsid w:val="007D5576"/>
    <w:rsid w:val="007F6C94"/>
    <w:rsid w:val="0081344C"/>
    <w:rsid w:val="00821886"/>
    <w:rsid w:val="00824AF2"/>
    <w:rsid w:val="00880AAF"/>
    <w:rsid w:val="008840F8"/>
    <w:rsid w:val="008B0FC2"/>
    <w:rsid w:val="008B2A22"/>
    <w:rsid w:val="008B7331"/>
    <w:rsid w:val="008C5277"/>
    <w:rsid w:val="008D6DB7"/>
    <w:rsid w:val="008E1E6C"/>
    <w:rsid w:val="008E58E6"/>
    <w:rsid w:val="008E7DC2"/>
    <w:rsid w:val="008F527C"/>
    <w:rsid w:val="00902A23"/>
    <w:rsid w:val="009112BB"/>
    <w:rsid w:val="009159C5"/>
    <w:rsid w:val="00930314"/>
    <w:rsid w:val="009445A8"/>
    <w:rsid w:val="009451F3"/>
    <w:rsid w:val="0094693B"/>
    <w:rsid w:val="00951B16"/>
    <w:rsid w:val="00966680"/>
    <w:rsid w:val="00967D4A"/>
    <w:rsid w:val="009811C7"/>
    <w:rsid w:val="00992744"/>
    <w:rsid w:val="00993141"/>
    <w:rsid w:val="00995750"/>
    <w:rsid w:val="009A0384"/>
    <w:rsid w:val="009B03B7"/>
    <w:rsid w:val="009B3814"/>
    <w:rsid w:val="009B768C"/>
    <w:rsid w:val="009C69CA"/>
    <w:rsid w:val="009F0B5B"/>
    <w:rsid w:val="009F5B39"/>
    <w:rsid w:val="009F7CA5"/>
    <w:rsid w:val="009F7FA0"/>
    <w:rsid w:val="00A13169"/>
    <w:rsid w:val="00A30274"/>
    <w:rsid w:val="00A31629"/>
    <w:rsid w:val="00A322BA"/>
    <w:rsid w:val="00A34090"/>
    <w:rsid w:val="00A35D62"/>
    <w:rsid w:val="00A41920"/>
    <w:rsid w:val="00A56B47"/>
    <w:rsid w:val="00A8779C"/>
    <w:rsid w:val="00AA448C"/>
    <w:rsid w:val="00AB1974"/>
    <w:rsid w:val="00AD39C9"/>
    <w:rsid w:val="00AE5531"/>
    <w:rsid w:val="00B1748F"/>
    <w:rsid w:val="00B17748"/>
    <w:rsid w:val="00B355F3"/>
    <w:rsid w:val="00B41AA4"/>
    <w:rsid w:val="00B427E6"/>
    <w:rsid w:val="00B4338E"/>
    <w:rsid w:val="00B575F2"/>
    <w:rsid w:val="00B65A19"/>
    <w:rsid w:val="00B7013E"/>
    <w:rsid w:val="00B71BB6"/>
    <w:rsid w:val="00B754F0"/>
    <w:rsid w:val="00B81A74"/>
    <w:rsid w:val="00B9573E"/>
    <w:rsid w:val="00BA0555"/>
    <w:rsid w:val="00BA5798"/>
    <w:rsid w:val="00BB2768"/>
    <w:rsid w:val="00BB6438"/>
    <w:rsid w:val="00BD23D5"/>
    <w:rsid w:val="00BE0ABD"/>
    <w:rsid w:val="00BF1E02"/>
    <w:rsid w:val="00BF63C4"/>
    <w:rsid w:val="00C0783F"/>
    <w:rsid w:val="00C115CE"/>
    <w:rsid w:val="00C11EF1"/>
    <w:rsid w:val="00C31A46"/>
    <w:rsid w:val="00C50E39"/>
    <w:rsid w:val="00C5360B"/>
    <w:rsid w:val="00C60A8D"/>
    <w:rsid w:val="00C62CC5"/>
    <w:rsid w:val="00C72D50"/>
    <w:rsid w:val="00C75F8D"/>
    <w:rsid w:val="00C76CCB"/>
    <w:rsid w:val="00C93C36"/>
    <w:rsid w:val="00CC6321"/>
    <w:rsid w:val="00CC6FE8"/>
    <w:rsid w:val="00CD5536"/>
    <w:rsid w:val="00CD5A41"/>
    <w:rsid w:val="00CD6E6A"/>
    <w:rsid w:val="00CE1D3F"/>
    <w:rsid w:val="00CE52C8"/>
    <w:rsid w:val="00CE73FD"/>
    <w:rsid w:val="00CF5AE9"/>
    <w:rsid w:val="00D0108B"/>
    <w:rsid w:val="00D43FE8"/>
    <w:rsid w:val="00D56F1C"/>
    <w:rsid w:val="00D76656"/>
    <w:rsid w:val="00D77F15"/>
    <w:rsid w:val="00D82A94"/>
    <w:rsid w:val="00D9534E"/>
    <w:rsid w:val="00D958DE"/>
    <w:rsid w:val="00DA3FF1"/>
    <w:rsid w:val="00DB20BC"/>
    <w:rsid w:val="00DC004C"/>
    <w:rsid w:val="00DE2DFB"/>
    <w:rsid w:val="00DE4754"/>
    <w:rsid w:val="00DE740A"/>
    <w:rsid w:val="00DF2F12"/>
    <w:rsid w:val="00E1560D"/>
    <w:rsid w:val="00E23FAD"/>
    <w:rsid w:val="00E52188"/>
    <w:rsid w:val="00E560FF"/>
    <w:rsid w:val="00E604FE"/>
    <w:rsid w:val="00E6678F"/>
    <w:rsid w:val="00EA43FF"/>
    <w:rsid w:val="00EC5685"/>
    <w:rsid w:val="00ED47AF"/>
    <w:rsid w:val="00EE5B7C"/>
    <w:rsid w:val="00EF7FEC"/>
    <w:rsid w:val="00F02061"/>
    <w:rsid w:val="00F14681"/>
    <w:rsid w:val="00F5032E"/>
    <w:rsid w:val="00F641B3"/>
    <w:rsid w:val="00F72C6E"/>
    <w:rsid w:val="00F73F58"/>
    <w:rsid w:val="00F93977"/>
    <w:rsid w:val="00FA38C3"/>
    <w:rsid w:val="00FC3183"/>
    <w:rsid w:val="01915353"/>
    <w:rsid w:val="03AF34A2"/>
    <w:rsid w:val="05205355"/>
    <w:rsid w:val="060374E1"/>
    <w:rsid w:val="099C3C23"/>
    <w:rsid w:val="0E92577A"/>
    <w:rsid w:val="14972700"/>
    <w:rsid w:val="15E4163C"/>
    <w:rsid w:val="1CC8038B"/>
    <w:rsid w:val="1E0E710D"/>
    <w:rsid w:val="1FE32AA5"/>
    <w:rsid w:val="223775AC"/>
    <w:rsid w:val="23DB1D7E"/>
    <w:rsid w:val="24FE412E"/>
    <w:rsid w:val="260B328E"/>
    <w:rsid w:val="277B0325"/>
    <w:rsid w:val="28C07367"/>
    <w:rsid w:val="2E5A64A6"/>
    <w:rsid w:val="2F91426B"/>
    <w:rsid w:val="31726B84"/>
    <w:rsid w:val="48D811F5"/>
    <w:rsid w:val="4E5A19FE"/>
    <w:rsid w:val="4E6363ED"/>
    <w:rsid w:val="4EAD3C28"/>
    <w:rsid w:val="52631F37"/>
    <w:rsid w:val="5965519C"/>
    <w:rsid w:val="5F7610AD"/>
    <w:rsid w:val="6428097A"/>
    <w:rsid w:val="69D13148"/>
    <w:rsid w:val="6C45775B"/>
    <w:rsid w:val="732F36FA"/>
    <w:rsid w:val="74C55B0E"/>
    <w:rsid w:val="75332B1D"/>
    <w:rsid w:val="783E7254"/>
    <w:rsid w:val="78746025"/>
    <w:rsid w:val="7A962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uiPriority="99" w:name="Body Text First Indent"/>
    <w:lsdException w:uiPriority="99" w:name="Body Text First Indent 2"/>
    <w:lsdException w:qFormat="1"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5"/>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7"/>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8"/>
    <w:autoRedefine/>
    <w:qFormat/>
    <w:uiPriority w:val="9"/>
    <w:pPr>
      <w:keepNext/>
      <w:keepLines/>
      <w:spacing w:before="60" w:after="60"/>
      <w:outlineLvl w:val="2"/>
    </w:pPr>
    <w:rPr>
      <w:rFonts w:ascii="Calibri" w:hAnsi="Calibri" w:eastAsia="宋体" w:cs="Times New Roman"/>
      <w:b/>
      <w:bCs/>
      <w:szCs w:val="32"/>
    </w:rPr>
  </w:style>
  <w:style w:type="paragraph" w:styleId="5">
    <w:name w:val="heading 4"/>
    <w:basedOn w:val="1"/>
    <w:next w:val="1"/>
    <w:link w:val="59"/>
    <w:autoRedefine/>
    <w:qFormat/>
    <w:uiPriority w:val="9"/>
    <w:pPr>
      <w:keepNext/>
      <w:keepLines/>
      <w:spacing w:before="60" w:after="60"/>
      <w:outlineLvl w:val="3"/>
    </w:pPr>
    <w:rPr>
      <w:rFonts w:ascii="Cambria" w:hAnsi="Cambria" w:eastAsia="宋体" w:cs="Times New Roman"/>
      <w:b/>
      <w:bCs/>
      <w:szCs w:val="28"/>
    </w:rPr>
  </w:style>
  <w:style w:type="paragraph" w:styleId="6">
    <w:name w:val="heading 5"/>
    <w:basedOn w:val="1"/>
    <w:next w:val="1"/>
    <w:link w:val="60"/>
    <w:autoRedefine/>
    <w:qFormat/>
    <w:uiPriority w:val="9"/>
    <w:pPr>
      <w:keepNext/>
      <w:keepLines/>
      <w:spacing w:before="60" w:after="60"/>
      <w:outlineLvl w:val="4"/>
    </w:pPr>
    <w:rPr>
      <w:rFonts w:ascii="Calibri" w:hAnsi="Calibri" w:eastAsia="宋体" w:cs="Times New Roman"/>
      <w:b/>
      <w:bCs/>
      <w:szCs w:val="28"/>
    </w:rPr>
  </w:style>
  <w:style w:type="paragraph" w:styleId="7">
    <w:name w:val="heading 6"/>
    <w:basedOn w:val="1"/>
    <w:next w:val="1"/>
    <w:link w:val="61"/>
    <w:autoRedefine/>
    <w:unhideWhenUsed/>
    <w:qFormat/>
    <w:uiPriority w:val="9"/>
    <w:pPr>
      <w:keepNext/>
      <w:keepLines/>
      <w:widowControl/>
      <w:spacing w:before="60" w:after="60"/>
      <w:jc w:val="left"/>
      <w:outlineLvl w:val="5"/>
    </w:pPr>
    <w:rPr>
      <w:rFonts w:eastAsia="宋体" w:asciiTheme="majorHAnsi" w:hAnsiTheme="majorHAnsi" w:cstheme="majorBidi"/>
      <w:b/>
      <w:bCs/>
      <w:kern w:val="0"/>
      <w:szCs w:val="24"/>
    </w:rPr>
  </w:style>
  <w:style w:type="paragraph" w:styleId="8">
    <w:name w:val="heading 7"/>
    <w:basedOn w:val="1"/>
    <w:next w:val="1"/>
    <w:link w:val="62"/>
    <w:autoRedefine/>
    <w:unhideWhenUsed/>
    <w:qFormat/>
    <w:uiPriority w:val="9"/>
    <w:pPr>
      <w:keepNext/>
      <w:keepLines/>
      <w:widowControl/>
      <w:spacing w:before="240" w:after="64" w:line="320" w:lineRule="auto"/>
      <w:jc w:val="left"/>
      <w:outlineLvl w:val="6"/>
    </w:pPr>
    <w:rPr>
      <w:rFonts w:ascii="宋体" w:hAnsi="宋体" w:eastAsia="宋体" w:cs="宋体"/>
      <w:b/>
      <w:bCs/>
      <w:kern w:val="0"/>
      <w:sz w:val="24"/>
      <w:szCs w:val="24"/>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9">
    <w:name w:val="toc 7"/>
    <w:basedOn w:val="1"/>
    <w:next w:val="1"/>
    <w:autoRedefine/>
    <w:unhideWhenUsed/>
    <w:qFormat/>
    <w:uiPriority w:val="39"/>
    <w:pPr>
      <w:ind w:left="2520" w:leftChars="1200"/>
    </w:pPr>
  </w:style>
  <w:style w:type="paragraph" w:styleId="10">
    <w:name w:val="Note Heading"/>
    <w:basedOn w:val="1"/>
    <w:next w:val="1"/>
    <w:link w:val="71"/>
    <w:autoRedefine/>
    <w:qFormat/>
    <w:uiPriority w:val="99"/>
    <w:pPr>
      <w:jc w:val="center"/>
    </w:pPr>
    <w:rPr>
      <w:rFonts w:ascii="Times New Roman" w:hAnsi="Times New Roman" w:eastAsia="宋体" w:cs="Times New Roman"/>
      <w:szCs w:val="21"/>
    </w:rPr>
  </w:style>
  <w:style w:type="paragraph" w:styleId="11">
    <w:name w:val="Normal Indent"/>
    <w:basedOn w:val="1"/>
    <w:autoRedefine/>
    <w:qFormat/>
    <w:uiPriority w:val="0"/>
    <w:pPr>
      <w:ind w:firstLine="420" w:firstLineChars="200"/>
    </w:pPr>
    <w:rPr>
      <w:rFonts w:ascii="Times New Roman" w:hAnsi="Times New Roman" w:eastAsia="宋体" w:cs="Times New Roman"/>
      <w:szCs w:val="21"/>
    </w:rPr>
  </w:style>
  <w:style w:type="paragraph" w:styleId="12">
    <w:name w:val="caption"/>
    <w:basedOn w:val="1"/>
    <w:next w:val="1"/>
    <w:autoRedefine/>
    <w:unhideWhenUsed/>
    <w:qFormat/>
    <w:uiPriority w:val="35"/>
    <w:rPr>
      <w:rFonts w:eastAsia="黑体" w:asciiTheme="majorHAnsi" w:hAnsiTheme="majorHAnsi" w:cstheme="majorBidi"/>
      <w:sz w:val="20"/>
      <w:szCs w:val="20"/>
    </w:rPr>
  </w:style>
  <w:style w:type="paragraph" w:styleId="13">
    <w:name w:val="Document Map"/>
    <w:basedOn w:val="1"/>
    <w:link w:val="76"/>
    <w:autoRedefine/>
    <w:unhideWhenUsed/>
    <w:qFormat/>
    <w:uiPriority w:val="99"/>
    <w:rPr>
      <w:rFonts w:ascii="宋体" w:hAnsi="Calibri" w:eastAsia="宋体" w:cs="Times New Roman"/>
      <w:sz w:val="18"/>
      <w:szCs w:val="18"/>
    </w:rPr>
  </w:style>
  <w:style w:type="paragraph" w:styleId="14">
    <w:name w:val="toa heading"/>
    <w:basedOn w:val="1"/>
    <w:next w:val="1"/>
    <w:autoRedefine/>
    <w:semiHidden/>
    <w:qFormat/>
    <w:uiPriority w:val="0"/>
    <w:pPr>
      <w:spacing w:before="120"/>
    </w:pPr>
    <w:rPr>
      <w:rFonts w:ascii="Arial" w:hAnsi="Arial" w:eastAsia="宋体" w:cs="Times New Roman"/>
      <w:b/>
      <w:bCs/>
      <w:szCs w:val="21"/>
    </w:rPr>
  </w:style>
  <w:style w:type="paragraph" w:styleId="15">
    <w:name w:val="annotation text"/>
    <w:basedOn w:val="1"/>
    <w:link w:val="52"/>
    <w:autoRedefine/>
    <w:unhideWhenUsed/>
    <w:qFormat/>
    <w:uiPriority w:val="99"/>
    <w:pPr>
      <w:jc w:val="left"/>
    </w:pPr>
  </w:style>
  <w:style w:type="paragraph" w:styleId="16">
    <w:name w:val="Salutation"/>
    <w:basedOn w:val="1"/>
    <w:next w:val="1"/>
    <w:link w:val="63"/>
    <w:autoRedefine/>
    <w:qFormat/>
    <w:uiPriority w:val="99"/>
    <w:rPr>
      <w:rFonts w:ascii="Times New Roman" w:hAnsi="Times New Roman" w:eastAsia="宋体" w:cs="Times New Roman"/>
      <w:szCs w:val="21"/>
    </w:rPr>
  </w:style>
  <w:style w:type="paragraph" w:styleId="17">
    <w:name w:val="List Bullet 3"/>
    <w:basedOn w:val="1"/>
    <w:autoRedefine/>
    <w:qFormat/>
    <w:uiPriority w:val="0"/>
    <w:pPr>
      <w:tabs>
        <w:tab w:val="left" w:pos="1200"/>
      </w:tabs>
    </w:pPr>
    <w:rPr>
      <w:rFonts w:ascii="Times New Roman" w:hAnsi="Times New Roman" w:eastAsia="宋体" w:cs="Times New Roman"/>
      <w:szCs w:val="21"/>
    </w:rPr>
  </w:style>
  <w:style w:type="paragraph" w:styleId="18">
    <w:name w:val="Body Text"/>
    <w:basedOn w:val="1"/>
    <w:link w:val="68"/>
    <w:autoRedefine/>
    <w:qFormat/>
    <w:uiPriority w:val="99"/>
    <w:pPr>
      <w:spacing w:after="120"/>
    </w:pPr>
    <w:rPr>
      <w:rFonts w:ascii="Times New Roman" w:hAnsi="Times New Roman" w:eastAsia="宋体" w:cs="Times New Roman"/>
      <w:szCs w:val="21"/>
    </w:rPr>
  </w:style>
  <w:style w:type="paragraph" w:styleId="19">
    <w:name w:val="Body Text Indent"/>
    <w:basedOn w:val="1"/>
    <w:autoRedefine/>
    <w:qFormat/>
    <w:uiPriority w:val="0"/>
    <w:pPr>
      <w:spacing w:line="480" w:lineRule="exact"/>
      <w:ind w:firstLine="480" w:firstLineChars="200"/>
    </w:pPr>
    <w:rPr>
      <w:sz w:val="24"/>
    </w:rPr>
  </w:style>
  <w:style w:type="paragraph" w:styleId="20">
    <w:name w:val="toc 5"/>
    <w:basedOn w:val="1"/>
    <w:next w:val="1"/>
    <w:autoRedefine/>
    <w:unhideWhenUsed/>
    <w:qFormat/>
    <w:uiPriority w:val="39"/>
    <w:pPr>
      <w:ind w:left="1680" w:leftChars="800"/>
    </w:pPr>
  </w:style>
  <w:style w:type="paragraph" w:styleId="21">
    <w:name w:val="toc 3"/>
    <w:basedOn w:val="1"/>
    <w:next w:val="1"/>
    <w:autoRedefine/>
    <w:unhideWhenUsed/>
    <w:qFormat/>
    <w:uiPriority w:val="39"/>
    <w:pPr>
      <w:widowControl/>
      <w:spacing w:after="100" w:line="276" w:lineRule="auto"/>
      <w:ind w:left="440"/>
      <w:jc w:val="left"/>
    </w:pPr>
    <w:rPr>
      <w:rFonts w:ascii="Calibri" w:hAnsi="Calibri" w:eastAsia="宋体" w:cs="Times New Roman"/>
      <w:kern w:val="0"/>
      <w:sz w:val="22"/>
    </w:rPr>
  </w:style>
  <w:style w:type="paragraph" w:styleId="22">
    <w:name w:val="Plain Text"/>
    <w:basedOn w:val="1"/>
    <w:link w:val="66"/>
    <w:autoRedefine/>
    <w:qFormat/>
    <w:uiPriority w:val="0"/>
    <w:rPr>
      <w:rFonts w:ascii="宋体" w:hAnsi="Courier New" w:eastAsia="宋体" w:cs="Times New Roman"/>
      <w:szCs w:val="20"/>
    </w:rPr>
  </w:style>
  <w:style w:type="paragraph" w:styleId="23">
    <w:name w:val="toc 8"/>
    <w:basedOn w:val="1"/>
    <w:next w:val="1"/>
    <w:autoRedefine/>
    <w:unhideWhenUsed/>
    <w:qFormat/>
    <w:uiPriority w:val="39"/>
    <w:pPr>
      <w:ind w:left="2940" w:leftChars="1400"/>
    </w:pPr>
  </w:style>
  <w:style w:type="paragraph" w:styleId="24">
    <w:name w:val="Date"/>
    <w:basedOn w:val="1"/>
    <w:next w:val="1"/>
    <w:link w:val="70"/>
    <w:autoRedefine/>
    <w:qFormat/>
    <w:uiPriority w:val="99"/>
    <w:pPr>
      <w:ind w:left="100" w:leftChars="2500"/>
    </w:pPr>
    <w:rPr>
      <w:rFonts w:ascii="Times New Roman" w:hAnsi="Times New Roman" w:eastAsia="宋体" w:cs="Times New Roman"/>
      <w:szCs w:val="21"/>
    </w:rPr>
  </w:style>
  <w:style w:type="paragraph" w:styleId="25">
    <w:name w:val="endnote text"/>
    <w:basedOn w:val="1"/>
    <w:link w:val="80"/>
    <w:autoRedefine/>
    <w:unhideWhenUsed/>
    <w:qFormat/>
    <w:uiPriority w:val="99"/>
    <w:pPr>
      <w:widowControl/>
      <w:snapToGrid w:val="0"/>
      <w:jc w:val="left"/>
    </w:pPr>
    <w:rPr>
      <w:rFonts w:ascii="宋体" w:hAnsi="宋体" w:eastAsia="宋体" w:cs="宋体"/>
      <w:kern w:val="0"/>
      <w:szCs w:val="24"/>
    </w:rPr>
  </w:style>
  <w:style w:type="paragraph" w:styleId="26">
    <w:name w:val="Balloon Text"/>
    <w:basedOn w:val="1"/>
    <w:link w:val="54"/>
    <w:autoRedefine/>
    <w:unhideWhenUsed/>
    <w:qFormat/>
    <w:uiPriority w:val="99"/>
    <w:rPr>
      <w:sz w:val="18"/>
      <w:szCs w:val="18"/>
    </w:rPr>
  </w:style>
  <w:style w:type="paragraph" w:styleId="27">
    <w:name w:val="footer"/>
    <w:basedOn w:val="1"/>
    <w:link w:val="46"/>
    <w:autoRedefine/>
    <w:unhideWhenUsed/>
    <w:qFormat/>
    <w:uiPriority w:val="99"/>
    <w:pPr>
      <w:tabs>
        <w:tab w:val="center" w:pos="4153"/>
        <w:tab w:val="right" w:pos="8306"/>
      </w:tabs>
      <w:snapToGrid w:val="0"/>
      <w:jc w:val="left"/>
    </w:pPr>
    <w:rPr>
      <w:sz w:val="18"/>
      <w:szCs w:val="18"/>
    </w:rPr>
  </w:style>
  <w:style w:type="paragraph" w:styleId="28">
    <w:name w:val="header"/>
    <w:basedOn w:val="1"/>
    <w:link w:val="4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unhideWhenUsed/>
    <w:qFormat/>
    <w:uiPriority w:val="39"/>
  </w:style>
  <w:style w:type="paragraph" w:styleId="30">
    <w:name w:val="toc 4"/>
    <w:basedOn w:val="1"/>
    <w:next w:val="1"/>
    <w:autoRedefine/>
    <w:unhideWhenUsed/>
    <w:qFormat/>
    <w:uiPriority w:val="39"/>
    <w:pPr>
      <w:ind w:left="1260" w:leftChars="600"/>
    </w:pPr>
  </w:style>
  <w:style w:type="paragraph" w:styleId="31">
    <w:name w:val="toc 6"/>
    <w:basedOn w:val="1"/>
    <w:next w:val="1"/>
    <w:autoRedefine/>
    <w:unhideWhenUsed/>
    <w:qFormat/>
    <w:uiPriority w:val="39"/>
    <w:pPr>
      <w:ind w:left="2100" w:leftChars="1000"/>
    </w:pPr>
  </w:style>
  <w:style w:type="paragraph" w:styleId="32">
    <w:name w:val="toc 2"/>
    <w:basedOn w:val="1"/>
    <w:next w:val="1"/>
    <w:autoRedefine/>
    <w:unhideWhenUsed/>
    <w:qFormat/>
    <w:uiPriority w:val="39"/>
    <w:pPr>
      <w:ind w:left="420" w:leftChars="200"/>
    </w:pPr>
  </w:style>
  <w:style w:type="paragraph" w:styleId="33">
    <w:name w:val="toc 9"/>
    <w:basedOn w:val="1"/>
    <w:next w:val="1"/>
    <w:autoRedefine/>
    <w:unhideWhenUsed/>
    <w:qFormat/>
    <w:uiPriority w:val="39"/>
    <w:pPr>
      <w:ind w:left="3360" w:leftChars="1600"/>
    </w:pPr>
  </w:style>
  <w:style w:type="paragraph" w:styleId="3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5">
    <w:name w:val="index 1"/>
    <w:basedOn w:val="1"/>
    <w:next w:val="1"/>
    <w:autoRedefine/>
    <w:semiHidden/>
    <w:qFormat/>
    <w:uiPriority w:val="0"/>
    <w:pPr>
      <w:widowControl/>
      <w:ind w:firstLine="420" w:firstLineChars="200"/>
      <w:jc w:val="left"/>
    </w:pPr>
    <w:rPr>
      <w:rFonts w:ascii="宋体" w:hAnsi="宋体" w:eastAsia="宋体" w:cs="Times New Roman"/>
      <w:color w:val="000000"/>
      <w:kern w:val="0"/>
      <w:szCs w:val="21"/>
    </w:rPr>
  </w:style>
  <w:style w:type="paragraph" w:styleId="36">
    <w:name w:val="Title"/>
    <w:basedOn w:val="1"/>
    <w:next w:val="1"/>
    <w:link w:val="78"/>
    <w:autoRedefine/>
    <w:qFormat/>
    <w:uiPriority w:val="0"/>
    <w:pPr>
      <w:spacing w:before="240" w:after="60"/>
      <w:jc w:val="center"/>
      <w:outlineLvl w:val="0"/>
    </w:pPr>
    <w:rPr>
      <w:rFonts w:eastAsia="宋体" w:asciiTheme="majorHAnsi" w:hAnsiTheme="majorHAnsi" w:cstheme="majorBidi"/>
      <w:b/>
      <w:bCs/>
      <w:sz w:val="32"/>
      <w:szCs w:val="32"/>
    </w:rPr>
  </w:style>
  <w:style w:type="paragraph" w:styleId="37">
    <w:name w:val="annotation subject"/>
    <w:basedOn w:val="15"/>
    <w:next w:val="15"/>
    <w:link w:val="53"/>
    <w:autoRedefine/>
    <w:unhideWhenUsed/>
    <w:qFormat/>
    <w:uiPriority w:val="99"/>
    <w:rPr>
      <w:b/>
      <w:bCs/>
    </w:rPr>
  </w:style>
  <w:style w:type="table" w:styleId="39">
    <w:name w:val="Table Grid"/>
    <w:basedOn w:val="3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endnote reference"/>
    <w:basedOn w:val="40"/>
    <w:autoRedefine/>
    <w:unhideWhenUsed/>
    <w:qFormat/>
    <w:uiPriority w:val="99"/>
    <w:rPr>
      <w:vertAlign w:val="superscript"/>
    </w:rPr>
  </w:style>
  <w:style w:type="character" w:styleId="42">
    <w:name w:val="page number"/>
    <w:basedOn w:val="40"/>
    <w:autoRedefine/>
    <w:qFormat/>
    <w:uiPriority w:val="0"/>
  </w:style>
  <w:style w:type="character" w:styleId="43">
    <w:name w:val="Hyperlink"/>
    <w:basedOn w:val="40"/>
    <w:autoRedefine/>
    <w:unhideWhenUsed/>
    <w:qFormat/>
    <w:uiPriority w:val="99"/>
    <w:rPr>
      <w:color w:val="0563C1" w:themeColor="hyperlink"/>
      <w:u w:val="single"/>
      <w14:textFill>
        <w14:solidFill>
          <w14:schemeClr w14:val="hlink"/>
        </w14:solidFill>
      </w14:textFill>
    </w:rPr>
  </w:style>
  <w:style w:type="character" w:styleId="44">
    <w:name w:val="annotation reference"/>
    <w:basedOn w:val="40"/>
    <w:autoRedefine/>
    <w:unhideWhenUsed/>
    <w:qFormat/>
    <w:uiPriority w:val="0"/>
    <w:rPr>
      <w:sz w:val="21"/>
      <w:szCs w:val="21"/>
    </w:rPr>
  </w:style>
  <w:style w:type="character" w:customStyle="1" w:styleId="45">
    <w:name w:val="页眉 字符"/>
    <w:basedOn w:val="40"/>
    <w:link w:val="28"/>
    <w:autoRedefine/>
    <w:qFormat/>
    <w:uiPriority w:val="99"/>
    <w:rPr>
      <w:sz w:val="18"/>
      <w:szCs w:val="18"/>
    </w:rPr>
  </w:style>
  <w:style w:type="character" w:customStyle="1" w:styleId="46">
    <w:name w:val="页脚 字符"/>
    <w:basedOn w:val="40"/>
    <w:link w:val="27"/>
    <w:autoRedefine/>
    <w:qFormat/>
    <w:uiPriority w:val="99"/>
    <w:rPr>
      <w:sz w:val="18"/>
      <w:szCs w:val="18"/>
    </w:rPr>
  </w:style>
  <w:style w:type="paragraph" w:customStyle="1" w:styleId="47">
    <w:name w:val="aSTL正文"/>
    <w:basedOn w:val="1"/>
    <w:link w:val="48"/>
    <w:autoRedefine/>
    <w:qFormat/>
    <w:uiPriority w:val="0"/>
    <w:pPr>
      <w:spacing w:line="300" w:lineRule="auto"/>
      <w:ind w:firstLine="200" w:firstLineChars="200"/>
    </w:pPr>
    <w:rPr>
      <w:rFonts w:ascii="Calibri" w:hAnsi="Calibri" w:eastAsia="宋体" w:cs="Times New Roman"/>
      <w:kern w:val="0"/>
      <w:sz w:val="24"/>
      <w:szCs w:val="20"/>
      <w:lang w:val="zh-CN"/>
    </w:rPr>
  </w:style>
  <w:style w:type="character" w:customStyle="1" w:styleId="48">
    <w:name w:val="aSTL正文 Char"/>
    <w:link w:val="47"/>
    <w:autoRedefine/>
    <w:qFormat/>
    <w:uiPriority w:val="0"/>
    <w:rPr>
      <w:rFonts w:ascii="Calibri" w:hAnsi="Calibri" w:eastAsia="宋体" w:cs="Times New Roman"/>
      <w:kern w:val="0"/>
      <w:sz w:val="24"/>
      <w:szCs w:val="20"/>
      <w:lang w:val="zh-CN" w:eastAsia="zh-CN"/>
    </w:rPr>
  </w:style>
  <w:style w:type="paragraph" w:customStyle="1" w:styleId="49">
    <w:name w:val="4.1.1.1.1"/>
    <w:basedOn w:val="1"/>
    <w:link w:val="50"/>
    <w:autoRedefine/>
    <w:qFormat/>
    <w:uiPriority w:val="0"/>
    <w:pPr>
      <w:tabs>
        <w:tab w:val="left" w:pos="142"/>
      </w:tabs>
      <w:spacing w:beforeLines="50" w:afterLines="50"/>
      <w:ind w:left="200" w:leftChars="200"/>
      <w:jc w:val="left"/>
      <w:outlineLvl w:val="3"/>
    </w:pPr>
    <w:rPr>
      <w:rFonts w:ascii="宋体" w:hAnsi="宋体" w:eastAsia="宋体" w:cs="Times New Roman"/>
      <w:b/>
      <w:color w:val="000000"/>
      <w:kern w:val="0"/>
      <w:sz w:val="24"/>
      <w:szCs w:val="24"/>
      <w:lang w:val="zh-CN"/>
    </w:rPr>
  </w:style>
  <w:style w:type="character" w:customStyle="1" w:styleId="50">
    <w:name w:val="4.1.1.1.1 Char"/>
    <w:link w:val="49"/>
    <w:autoRedefine/>
    <w:qFormat/>
    <w:uiPriority w:val="0"/>
    <w:rPr>
      <w:rFonts w:ascii="宋体" w:hAnsi="宋体" w:eastAsia="宋体" w:cs="Times New Roman"/>
      <w:b/>
      <w:color w:val="000000"/>
      <w:kern w:val="0"/>
      <w:sz w:val="24"/>
      <w:szCs w:val="24"/>
      <w:lang w:val="zh-CN" w:eastAsia="zh-CN"/>
    </w:rPr>
  </w:style>
  <w:style w:type="paragraph" w:styleId="51">
    <w:name w:val="List Paragraph"/>
    <w:basedOn w:val="1"/>
    <w:autoRedefine/>
    <w:qFormat/>
    <w:uiPriority w:val="34"/>
    <w:pPr>
      <w:ind w:firstLine="420" w:firstLineChars="200"/>
    </w:pPr>
    <w:rPr>
      <w:rFonts w:ascii="Calibri" w:hAnsi="Calibri" w:eastAsia="宋体" w:cs="Times New Roman"/>
    </w:rPr>
  </w:style>
  <w:style w:type="character" w:customStyle="1" w:styleId="52">
    <w:name w:val="批注文字 字符"/>
    <w:basedOn w:val="40"/>
    <w:link w:val="15"/>
    <w:autoRedefine/>
    <w:qFormat/>
    <w:uiPriority w:val="99"/>
  </w:style>
  <w:style w:type="character" w:customStyle="1" w:styleId="53">
    <w:name w:val="批注主题 字符"/>
    <w:basedOn w:val="52"/>
    <w:link w:val="37"/>
    <w:autoRedefine/>
    <w:qFormat/>
    <w:uiPriority w:val="99"/>
    <w:rPr>
      <w:b/>
      <w:bCs/>
    </w:rPr>
  </w:style>
  <w:style w:type="character" w:customStyle="1" w:styleId="54">
    <w:name w:val="批注框文本 字符"/>
    <w:basedOn w:val="40"/>
    <w:link w:val="26"/>
    <w:autoRedefine/>
    <w:qFormat/>
    <w:uiPriority w:val="99"/>
    <w:rPr>
      <w:sz w:val="18"/>
      <w:szCs w:val="18"/>
    </w:rPr>
  </w:style>
  <w:style w:type="character" w:customStyle="1" w:styleId="55">
    <w:name w:val="标题 1 字符"/>
    <w:basedOn w:val="40"/>
    <w:link w:val="2"/>
    <w:autoRedefine/>
    <w:qFormat/>
    <w:uiPriority w:val="99"/>
    <w:rPr>
      <w:b/>
      <w:bCs/>
      <w:kern w:val="44"/>
      <w:sz w:val="44"/>
      <w:szCs w:val="44"/>
    </w:rPr>
  </w:style>
  <w:style w:type="paragraph" w:customStyle="1" w:styleId="56">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7">
    <w:name w:val="标题 2 字符"/>
    <w:basedOn w:val="40"/>
    <w:link w:val="3"/>
    <w:autoRedefine/>
    <w:qFormat/>
    <w:uiPriority w:val="0"/>
    <w:rPr>
      <w:rFonts w:asciiTheme="majorHAnsi" w:hAnsiTheme="majorHAnsi" w:eastAsiaTheme="majorEastAsia" w:cstheme="majorBidi"/>
      <w:b/>
      <w:bCs/>
      <w:sz w:val="32"/>
      <w:szCs w:val="32"/>
    </w:rPr>
  </w:style>
  <w:style w:type="character" w:customStyle="1" w:styleId="58">
    <w:name w:val="标题 3 字符"/>
    <w:basedOn w:val="40"/>
    <w:link w:val="4"/>
    <w:autoRedefine/>
    <w:qFormat/>
    <w:uiPriority w:val="9"/>
    <w:rPr>
      <w:rFonts w:ascii="Calibri" w:hAnsi="Calibri" w:eastAsia="宋体" w:cs="Times New Roman"/>
      <w:b/>
      <w:bCs/>
      <w:szCs w:val="32"/>
    </w:rPr>
  </w:style>
  <w:style w:type="character" w:customStyle="1" w:styleId="59">
    <w:name w:val="标题 4 字符"/>
    <w:basedOn w:val="40"/>
    <w:link w:val="5"/>
    <w:autoRedefine/>
    <w:qFormat/>
    <w:uiPriority w:val="9"/>
    <w:rPr>
      <w:rFonts w:ascii="Cambria" w:hAnsi="Cambria" w:eastAsia="宋体" w:cs="Times New Roman"/>
      <w:b/>
      <w:bCs/>
      <w:szCs w:val="28"/>
    </w:rPr>
  </w:style>
  <w:style w:type="character" w:customStyle="1" w:styleId="60">
    <w:name w:val="标题 5 字符"/>
    <w:basedOn w:val="40"/>
    <w:link w:val="6"/>
    <w:autoRedefine/>
    <w:qFormat/>
    <w:uiPriority w:val="9"/>
    <w:rPr>
      <w:rFonts w:ascii="Calibri" w:hAnsi="Calibri" w:eastAsia="宋体" w:cs="Times New Roman"/>
      <w:b/>
      <w:bCs/>
      <w:szCs w:val="28"/>
    </w:rPr>
  </w:style>
  <w:style w:type="character" w:customStyle="1" w:styleId="61">
    <w:name w:val="标题 6 字符"/>
    <w:basedOn w:val="40"/>
    <w:link w:val="7"/>
    <w:autoRedefine/>
    <w:qFormat/>
    <w:uiPriority w:val="9"/>
    <w:rPr>
      <w:rFonts w:eastAsia="宋体" w:asciiTheme="majorHAnsi" w:hAnsiTheme="majorHAnsi" w:cstheme="majorBidi"/>
      <w:b/>
      <w:bCs/>
      <w:kern w:val="0"/>
      <w:szCs w:val="24"/>
    </w:rPr>
  </w:style>
  <w:style w:type="character" w:customStyle="1" w:styleId="62">
    <w:name w:val="标题 7 字符"/>
    <w:basedOn w:val="40"/>
    <w:link w:val="8"/>
    <w:autoRedefine/>
    <w:qFormat/>
    <w:uiPriority w:val="9"/>
    <w:rPr>
      <w:rFonts w:ascii="宋体" w:hAnsi="宋体" w:eastAsia="宋体" w:cs="宋体"/>
      <w:b/>
      <w:bCs/>
      <w:kern w:val="0"/>
      <w:sz w:val="24"/>
      <w:szCs w:val="24"/>
    </w:rPr>
  </w:style>
  <w:style w:type="character" w:customStyle="1" w:styleId="63">
    <w:name w:val="称呼 字符"/>
    <w:basedOn w:val="40"/>
    <w:link w:val="16"/>
    <w:autoRedefine/>
    <w:qFormat/>
    <w:uiPriority w:val="99"/>
    <w:rPr>
      <w:rFonts w:ascii="Times New Roman" w:hAnsi="Times New Roman" w:eastAsia="宋体" w:cs="Times New Roman"/>
      <w:szCs w:val="21"/>
    </w:rPr>
  </w:style>
  <w:style w:type="character" w:customStyle="1" w:styleId="64">
    <w:name w:val="notnullcss1"/>
    <w:basedOn w:val="40"/>
    <w:autoRedefine/>
    <w:qFormat/>
    <w:uiPriority w:val="99"/>
    <w:rPr>
      <w:rFonts w:eastAsia="宋体" w:cs="Times New Roman"/>
      <w:color w:val="FF0000"/>
      <w:kern w:val="2"/>
      <w:sz w:val="24"/>
      <w:szCs w:val="24"/>
      <w:lang w:val="en-US" w:eastAsia="zh-CN" w:bidi="ar-SA"/>
    </w:rPr>
  </w:style>
  <w:style w:type="paragraph" w:customStyle="1" w:styleId="65">
    <w:name w:val="xl61"/>
    <w:basedOn w:val="1"/>
    <w:autoRedefine/>
    <w:qFormat/>
    <w:uiPriority w:val="99"/>
    <w:pPr>
      <w:widowControl/>
      <w:spacing w:before="100" w:after="100"/>
      <w:jc w:val="right"/>
    </w:pPr>
    <w:rPr>
      <w:rFonts w:ascii="Arial Unicode MS" w:hAnsi="Times New Roman" w:eastAsia="Arial Unicode MS" w:cs="Times New Roman"/>
      <w:kern w:val="0"/>
      <w:sz w:val="18"/>
      <w:szCs w:val="18"/>
    </w:rPr>
  </w:style>
  <w:style w:type="character" w:customStyle="1" w:styleId="66">
    <w:name w:val="纯文本 字符"/>
    <w:basedOn w:val="40"/>
    <w:link w:val="22"/>
    <w:autoRedefine/>
    <w:qFormat/>
    <w:uiPriority w:val="0"/>
    <w:rPr>
      <w:rFonts w:ascii="宋体" w:hAnsi="Courier New" w:eastAsia="宋体" w:cs="Times New Roman"/>
      <w:szCs w:val="20"/>
    </w:rPr>
  </w:style>
  <w:style w:type="character" w:customStyle="1" w:styleId="67">
    <w:name w:val="headline-content2"/>
    <w:basedOn w:val="40"/>
    <w:autoRedefine/>
    <w:qFormat/>
    <w:uiPriority w:val="0"/>
    <w:rPr>
      <w:rFonts w:eastAsia="宋体" w:cs="Times New Roman"/>
      <w:kern w:val="2"/>
      <w:sz w:val="24"/>
      <w:szCs w:val="24"/>
      <w:lang w:val="en-US" w:eastAsia="zh-CN" w:bidi="ar-SA"/>
    </w:rPr>
  </w:style>
  <w:style w:type="character" w:customStyle="1" w:styleId="68">
    <w:name w:val="正文文本 字符"/>
    <w:basedOn w:val="40"/>
    <w:link w:val="18"/>
    <w:autoRedefine/>
    <w:qFormat/>
    <w:uiPriority w:val="99"/>
    <w:rPr>
      <w:rFonts w:ascii="Times New Roman" w:hAnsi="Times New Roman" w:eastAsia="宋体" w:cs="Times New Roman"/>
      <w:szCs w:val="21"/>
    </w:rPr>
  </w:style>
  <w:style w:type="paragraph" w:customStyle="1" w:styleId="69">
    <w:name w:val="write2"/>
    <w:basedOn w:val="1"/>
    <w:autoRedefine/>
    <w:qFormat/>
    <w:uiPriority w:val="99"/>
    <w:pPr>
      <w:widowControl/>
      <w:tabs>
        <w:tab w:val="left" w:pos="709"/>
      </w:tabs>
      <w:overflowPunct w:val="0"/>
      <w:autoSpaceDE w:val="0"/>
      <w:autoSpaceDN w:val="0"/>
      <w:adjustRightInd w:val="0"/>
      <w:textAlignment w:val="baseline"/>
    </w:pPr>
    <w:rPr>
      <w:rFonts w:ascii="Helvetica-Narrow" w:hAnsi="Helvetica-Narrow" w:eastAsia="宋体" w:cs="Times New Roman"/>
      <w:kern w:val="0"/>
      <w:szCs w:val="24"/>
      <w:lang w:val="en-AU"/>
    </w:rPr>
  </w:style>
  <w:style w:type="character" w:customStyle="1" w:styleId="70">
    <w:name w:val="日期 字符"/>
    <w:basedOn w:val="40"/>
    <w:link w:val="24"/>
    <w:autoRedefine/>
    <w:qFormat/>
    <w:uiPriority w:val="99"/>
    <w:rPr>
      <w:rFonts w:ascii="Times New Roman" w:hAnsi="Times New Roman" w:eastAsia="宋体" w:cs="Times New Roman"/>
      <w:szCs w:val="21"/>
    </w:rPr>
  </w:style>
  <w:style w:type="character" w:customStyle="1" w:styleId="71">
    <w:name w:val="注释标题 字符"/>
    <w:basedOn w:val="40"/>
    <w:link w:val="10"/>
    <w:autoRedefine/>
    <w:qFormat/>
    <w:uiPriority w:val="99"/>
    <w:rPr>
      <w:rFonts w:ascii="Times New Roman" w:hAnsi="Times New Roman" w:eastAsia="宋体" w:cs="Times New Roman"/>
      <w:szCs w:val="21"/>
    </w:rPr>
  </w:style>
  <w:style w:type="paragraph" w:customStyle="1" w:styleId="72">
    <w:name w:val="标题5"/>
    <w:basedOn w:val="1"/>
    <w:autoRedefine/>
    <w:qFormat/>
    <w:uiPriority w:val="0"/>
    <w:pPr>
      <w:keepNext/>
      <w:keepLines/>
      <w:spacing w:before="60" w:after="60"/>
      <w:ind w:hanging="420" w:hangingChars="200"/>
      <w:outlineLvl w:val="4"/>
    </w:pPr>
    <w:rPr>
      <w:rFonts w:ascii="宋体" w:hAnsi="宋体" w:eastAsia="宋体" w:cs="Times New Roman"/>
      <w:b/>
      <w:bCs/>
      <w:szCs w:val="21"/>
    </w:rPr>
  </w:style>
  <w:style w:type="paragraph" w:customStyle="1" w:styleId="73">
    <w:name w:val="修订1"/>
    <w:autoRedefine/>
    <w:hidden/>
    <w:semiHidden/>
    <w:qFormat/>
    <w:uiPriority w:val="99"/>
    <w:rPr>
      <w:rFonts w:ascii="Calibri" w:hAnsi="Calibri" w:eastAsia="宋体" w:cs="Times New Roman"/>
      <w:kern w:val="2"/>
      <w:sz w:val="21"/>
      <w:szCs w:val="22"/>
      <w:lang w:val="en-US" w:eastAsia="zh-CN" w:bidi="ar-SA"/>
    </w:rPr>
  </w:style>
  <w:style w:type="character" w:customStyle="1" w:styleId="74">
    <w:name w:val="正文的样式 Char"/>
    <w:basedOn w:val="40"/>
    <w:link w:val="75"/>
    <w:autoRedefine/>
    <w:qFormat/>
    <w:uiPriority w:val="0"/>
    <w:rPr>
      <w:szCs w:val="24"/>
    </w:rPr>
  </w:style>
  <w:style w:type="paragraph" w:customStyle="1" w:styleId="75">
    <w:name w:val="正文的样式"/>
    <w:basedOn w:val="1"/>
    <w:link w:val="74"/>
    <w:autoRedefine/>
    <w:qFormat/>
    <w:uiPriority w:val="0"/>
    <w:pPr>
      <w:spacing w:before="100" w:after="100"/>
    </w:pPr>
    <w:rPr>
      <w:szCs w:val="24"/>
    </w:rPr>
  </w:style>
  <w:style w:type="character" w:customStyle="1" w:styleId="76">
    <w:name w:val="文档结构图 字符"/>
    <w:basedOn w:val="40"/>
    <w:link w:val="13"/>
    <w:autoRedefine/>
    <w:semiHidden/>
    <w:qFormat/>
    <w:uiPriority w:val="99"/>
    <w:rPr>
      <w:rFonts w:ascii="宋体" w:hAnsi="Calibri" w:eastAsia="宋体" w:cs="Times New Roman"/>
      <w:sz w:val="18"/>
      <w:szCs w:val="18"/>
    </w:rPr>
  </w:style>
  <w:style w:type="character" w:styleId="77">
    <w:name w:val="Placeholder Text"/>
    <w:basedOn w:val="40"/>
    <w:autoRedefine/>
    <w:semiHidden/>
    <w:qFormat/>
    <w:uiPriority w:val="99"/>
    <w:rPr>
      <w:color w:val="auto"/>
    </w:rPr>
  </w:style>
  <w:style w:type="character" w:customStyle="1" w:styleId="78">
    <w:name w:val="标题 字符"/>
    <w:basedOn w:val="40"/>
    <w:link w:val="36"/>
    <w:autoRedefine/>
    <w:qFormat/>
    <w:uiPriority w:val="0"/>
    <w:rPr>
      <w:rFonts w:eastAsia="宋体" w:asciiTheme="majorHAnsi" w:hAnsiTheme="majorHAnsi" w:cstheme="majorBidi"/>
      <w:b/>
      <w:bCs/>
      <w:sz w:val="32"/>
      <w:szCs w:val="32"/>
    </w:rPr>
  </w:style>
  <w:style w:type="paragraph" w:styleId="79">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80">
    <w:name w:val="尾注文本 字符"/>
    <w:basedOn w:val="40"/>
    <w:link w:val="25"/>
    <w:autoRedefine/>
    <w:semiHidden/>
    <w:qFormat/>
    <w:uiPriority w:val="99"/>
    <w:rPr>
      <w:rFonts w:ascii="宋体" w:hAnsi="宋体" w:eastAsia="宋体" w:cs="宋体"/>
      <w:kern w:val="0"/>
      <w:szCs w:val="24"/>
    </w:rPr>
  </w:style>
  <w:style w:type="character" w:customStyle="1" w:styleId="81">
    <w:name w:val="批注主题 Char1"/>
    <w:basedOn w:val="52"/>
    <w:autoRedefine/>
    <w:semiHidden/>
    <w:qFormat/>
    <w:uiPriority w:val="99"/>
    <w:rPr>
      <w:rFonts w:ascii="Times New Roman" w:hAnsi="Times New Roman" w:eastAsia="宋体" w:cs="Times New Roman"/>
      <w:b/>
      <w:bCs/>
      <w:szCs w:val="21"/>
    </w:rPr>
  </w:style>
  <w:style w:type="character" w:customStyle="1" w:styleId="82">
    <w:name w:val="span_"/>
    <w:basedOn w:val="40"/>
    <w:autoRedefine/>
    <w:qFormat/>
    <w:uiPriority w:val="0"/>
  </w:style>
  <w:style w:type="paragraph" w:customStyle="1" w:styleId="83">
    <w:name w:val="标题  3"/>
    <w:basedOn w:val="1"/>
    <w:next w:val="1"/>
    <w:link w:val="84"/>
    <w:autoRedefine/>
    <w:qFormat/>
    <w:uiPriority w:val="0"/>
    <w:pPr>
      <w:keepNext/>
      <w:keepLines/>
      <w:spacing w:before="100" w:beforeAutospacing="1" w:after="100" w:afterAutospacing="1" w:line="415" w:lineRule="auto"/>
    </w:pPr>
    <w:rPr>
      <w:rFonts w:ascii="Times New Roman" w:hAnsi="Times New Roman" w:eastAsia="宋体" w:cs="Times New Roman"/>
      <w:b/>
      <w:szCs w:val="24"/>
    </w:rPr>
  </w:style>
  <w:style w:type="character" w:customStyle="1" w:styleId="84">
    <w:name w:val="标题  3 Char"/>
    <w:basedOn w:val="40"/>
    <w:link w:val="83"/>
    <w:autoRedefine/>
    <w:qFormat/>
    <w:uiPriority w:val="0"/>
    <w:rPr>
      <w:rFonts w:ascii="Times New Roman" w:hAnsi="Times New Roman" w:eastAsia="宋体" w:cs="Times New Roman"/>
      <w:b/>
      <w:szCs w:val="24"/>
    </w:rPr>
  </w:style>
  <w:style w:type="paragraph" w:customStyle="1" w:styleId="85">
    <w:name w:val="列出段落1"/>
    <w:basedOn w:val="1"/>
    <w:autoRedefine/>
    <w:qFormat/>
    <w:uiPriority w:val="0"/>
    <w:pPr>
      <w:ind w:firstLine="420" w:firstLineChars="200"/>
    </w:pPr>
    <w:rPr>
      <w:rFonts w:ascii="Calibri" w:hAnsi="Calibri" w:eastAsia="宋体" w:cs="Calibri"/>
      <w:szCs w:val="21"/>
    </w:rPr>
  </w:style>
  <w:style w:type="paragraph" w:customStyle="1" w:styleId="86">
    <w:name w:val="报告正文格式1"/>
    <w:basedOn w:val="1"/>
    <w:autoRedefine/>
    <w:qFormat/>
    <w:uiPriority w:val="0"/>
    <w:pPr>
      <w:spacing w:line="360" w:lineRule="auto"/>
      <w:ind w:firstLine="200" w:firstLineChars="200"/>
      <w:jc w:val="left"/>
    </w:pPr>
    <w:rPr>
      <w:rFonts w:ascii="Times New Roman" w:hAnsi="Times New Roman" w:eastAsia="仿宋" w:cs="Times New Roman"/>
      <w:bCs/>
      <w:sz w:val="24"/>
      <w:szCs w:val="24"/>
    </w:rPr>
  </w:style>
  <w:style w:type="paragraph" w:customStyle="1" w:styleId="87">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table" w:customStyle="1" w:styleId="88">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89">
    <w:name w:val="Table Paragraph"/>
    <w:basedOn w:val="1"/>
    <w:autoRedefine/>
    <w:qFormat/>
    <w:uiPriority w:val="1"/>
    <w:pPr>
      <w:autoSpaceDE w:val="0"/>
      <w:autoSpaceDN w:val="0"/>
      <w:jc w:val="left"/>
    </w:pPr>
    <w:rPr>
      <w:rFonts w:ascii="Times New Roman" w:hAnsi="Times New Roman" w:eastAsia="Times New Roman" w:cs="Times New Roman"/>
      <w:kern w:val="0"/>
      <w:sz w:val="22"/>
      <w:lang w:eastAsia="en-US"/>
    </w:rPr>
  </w:style>
  <w:style w:type="paragraph" w:customStyle="1" w:styleId="90">
    <w:name w:val="前言标题"/>
    <w:basedOn w:val="3"/>
    <w:link w:val="92"/>
    <w:autoRedefine/>
    <w:qFormat/>
    <w:uiPriority w:val="0"/>
    <w:pPr>
      <w:spacing w:before="0" w:after="0" w:line="566" w:lineRule="auto"/>
      <w:jc w:val="left"/>
      <w:outlineLvl w:val="9"/>
    </w:pPr>
    <w:rPr>
      <w:rFonts w:ascii="Times New Roman" w:hAnsi="Times New Roman" w:eastAsia="黑体" w:cs="Times New Roman"/>
      <w:b w:val="0"/>
      <w:sz w:val="21"/>
    </w:rPr>
  </w:style>
  <w:style w:type="paragraph" w:customStyle="1" w:styleId="91">
    <w:name w:val="前言大标题"/>
    <w:basedOn w:val="2"/>
    <w:link w:val="93"/>
    <w:autoRedefine/>
    <w:qFormat/>
    <w:uiPriority w:val="0"/>
    <w:pPr>
      <w:spacing w:before="0" w:after="680" w:line="283" w:lineRule="auto"/>
      <w:ind w:firstLine="200" w:firstLineChars="200"/>
      <w:jc w:val="center"/>
      <w:outlineLvl w:val="9"/>
    </w:pPr>
    <w:rPr>
      <w:rFonts w:ascii="Times New Roman" w:hAnsi="Times New Roman" w:eastAsia="黑体" w:cs="Times New Roman"/>
      <w:b w:val="0"/>
      <w:sz w:val="32"/>
    </w:rPr>
  </w:style>
  <w:style w:type="character" w:customStyle="1" w:styleId="92">
    <w:name w:val="前言标题 Char"/>
    <w:basedOn w:val="40"/>
    <w:link w:val="90"/>
    <w:autoRedefine/>
    <w:qFormat/>
    <w:uiPriority w:val="0"/>
    <w:rPr>
      <w:rFonts w:eastAsia="黑体"/>
      <w:bCs/>
      <w:kern w:val="2"/>
      <w:sz w:val="21"/>
      <w:szCs w:val="32"/>
    </w:rPr>
  </w:style>
  <w:style w:type="character" w:customStyle="1" w:styleId="93">
    <w:name w:val="前言大标题 Char"/>
    <w:link w:val="91"/>
    <w:autoRedefine/>
    <w:qFormat/>
    <w:uiPriority w:val="0"/>
    <w:rPr>
      <w:rFonts w:eastAsia="黑体"/>
      <w:bCs/>
      <w:kern w:val="44"/>
      <w:sz w:val="32"/>
      <w:szCs w:val="44"/>
    </w:rPr>
  </w:style>
  <w:style w:type="paragraph" w:customStyle="1" w:styleId="94">
    <w:name w:val="Char Char Char Char Char Char Char Char Char Char Char Char Char"/>
    <w:basedOn w:val="1"/>
    <w:autoRedefine/>
    <w:qFormat/>
    <w:uiPriority w:val="0"/>
    <w:rPr>
      <w:rFonts w:ascii="Times New Roman" w:hAnsi="Times New Roman" w:eastAsia="宋体" w:cs="Times New Roman"/>
      <w:sz w:val="24"/>
      <w:szCs w:val="24"/>
    </w:rPr>
  </w:style>
  <w:style w:type="paragraph" w:customStyle="1" w:styleId="95">
    <w:name w:val="p0"/>
    <w:basedOn w:val="1"/>
    <w:autoRedefine/>
    <w:qFormat/>
    <w:uiPriority w:val="0"/>
    <w:pPr>
      <w:widowControl/>
      <w:spacing w:before="100" w:beforeAutospacing="1" w:after="100" w:afterAutospacing="1"/>
      <w:ind w:firstLine="200" w:firstLineChars="200"/>
      <w:jc w:val="left"/>
    </w:pPr>
    <w:rPr>
      <w:rFonts w:ascii="仿宋" w:hAnsi="宋体" w:eastAsia="仿宋"/>
      <w:kern w:val="0"/>
      <w:szCs w:val="20"/>
    </w:rPr>
  </w:style>
  <w:style w:type="paragraph" w:customStyle="1" w:styleId="96">
    <w:name w:val="YL正文"/>
    <w:basedOn w:val="1"/>
    <w:autoRedefine/>
    <w:qFormat/>
    <w:uiPriority w:val="0"/>
    <w:pPr>
      <w:spacing w:line="300" w:lineRule="auto"/>
      <w:ind w:firstLine="200" w:firstLineChars="200"/>
    </w:pPr>
    <w:rPr>
      <w:rFonts w:ascii="仿宋" w:hAnsi="仿宋"/>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elations xmlns="http://www.yonyou.com/relation"/>
</file>

<file path=customXml/itemProps1.xml><?xml version="1.0" encoding="utf-8"?>
<ds:datastoreItem xmlns:ds="http://schemas.openxmlformats.org/officeDocument/2006/customXml" ds:itemID="{6BC0C85B-024C-49A1-89CA-1A1A3B0F4157}">
  <ds:schemaRefs/>
</ds:datastoreItem>
</file>

<file path=customXml/itemProps2.xml><?xml version="1.0" encoding="utf-8"?>
<ds:datastoreItem xmlns:ds="http://schemas.openxmlformats.org/officeDocument/2006/customXml" ds:itemID="{8C0DEE37-9B9B-4CEF-B415-840BBC3F7C93}">
  <ds:schemaRefs/>
</ds:datastoreItem>
</file>

<file path=customXml/itemProps3.xml><?xml version="1.0" encoding="utf-8"?>
<ds:datastoreItem xmlns:ds="http://schemas.openxmlformats.org/officeDocument/2006/customXml" ds:itemID="{C5D7E463-A10F-494B-AAC3-043C8AA8F38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941</Words>
  <Characters>5367</Characters>
  <Lines>44</Lines>
  <Paragraphs>12</Paragraphs>
  <TotalTime>8</TotalTime>
  <ScaleCrop>false</ScaleCrop>
  <LinksUpToDate>false</LinksUpToDate>
  <CharactersWithSpaces>6296</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2022-07-22T02:14:00Z</dcterms:created>
  <dc:creator>Meng Tang</dc:creator>
  <cp:lastModifiedBy>希言</cp:lastModifiedBy>
  <cp:lastPrinted>2022-08-26T10:15:00Z</cp:lastPrinted>
  <dcterms:modified xsi:type="dcterms:W3CDTF">2024-04-22T01:21:18Z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FDF410CFA5D94F799536ABD19E429611</vt:lpwstr>
  </property>
</Properties>
</file>